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3516A6">
        <w:rPr>
          <w:b/>
          <w:sz w:val="28"/>
        </w:rPr>
        <w:t>2020</w:t>
      </w:r>
    </w:p>
    <w:p w:rsidR="00A671BB" w:rsidRDefault="00A671BB">
      <w:pPr>
        <w:pStyle w:val="DefaultText"/>
        <w:jc w:val="center"/>
        <w:rPr>
          <w:b/>
        </w:rPr>
      </w:pPr>
    </w:p>
    <w:p w:rsidR="0067139A" w:rsidRDefault="00370925"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Cs w:val="24"/>
        </w:rPr>
      </w:pPr>
      <w:r w:rsidRPr="00B715B0">
        <w:rPr>
          <w:b/>
          <w:noProof/>
          <w:sz w:val="28"/>
          <w:szCs w:val="28"/>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3283585</wp:posOffset>
                </wp:positionV>
                <wp:extent cx="5920740" cy="266700"/>
                <wp:effectExtent l="0" t="0" r="2286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66700"/>
                        </a:xfrm>
                        <a:prstGeom prst="rect">
                          <a:avLst/>
                        </a:prstGeom>
                        <a:solidFill>
                          <a:srgbClr val="FFFFFF"/>
                        </a:solidFill>
                        <a:ln w="9525">
                          <a:solidFill>
                            <a:srgbClr val="000000"/>
                          </a:solidFill>
                          <a:miter lim="800000"/>
                          <a:headEnd/>
                          <a:tailEnd/>
                        </a:ln>
                      </wps:spPr>
                      <wps:txbx>
                        <w:txbxContent>
                          <w:p w:rsidR="001E4083" w:rsidRPr="003D4E12" w:rsidRDefault="00D300F2">
                            <w:pPr>
                              <w:rPr>
                                <w:b/>
                              </w:rPr>
                            </w:pPr>
                            <w:r>
                              <w:rPr>
                                <w:b/>
                              </w:rPr>
                              <w:t>Fiscal Impact:</w:t>
                            </w:r>
                            <w:r w:rsidR="001E4083" w:rsidRPr="0018238D">
                              <w:rPr>
                                <w:b/>
                              </w:rPr>
                              <w:t xml:space="preserve"> [</w:t>
                            </w:r>
                            <w:r w:rsidR="00CA1125">
                              <w:rPr>
                                <w:b/>
                              </w:rPr>
                              <w:t xml:space="preserve"> </w:t>
                            </w:r>
                            <w:r w:rsidR="001E4083" w:rsidRPr="0018238D">
                              <w:rPr>
                                <w:b/>
                              </w:rPr>
                              <w:t xml:space="preserve">] </w:t>
                            </w:r>
                            <w:r>
                              <w:rPr>
                                <w:b/>
                              </w:rPr>
                              <w:t>None</w:t>
                            </w:r>
                            <w:r w:rsidR="005936FF">
                              <w:rPr>
                                <w:b/>
                              </w:rPr>
                              <w:t xml:space="preserve">   [</w:t>
                            </w:r>
                            <w:r w:rsidR="00CA1125">
                              <w:rPr>
                                <w:b/>
                              </w:rPr>
                              <w:t>X</w:t>
                            </w:r>
                            <w:r w:rsidR="001E4083" w:rsidRPr="0018238D">
                              <w:rPr>
                                <w:b/>
                              </w:rPr>
                              <w:t>] Budgeted E</w:t>
                            </w:r>
                            <w:r w:rsidR="003D4E12">
                              <w:rPr>
                                <w:b/>
                              </w:rPr>
                              <w:t>xpenditure    [</w:t>
                            </w:r>
                            <w:r w:rsidR="002147B2">
                              <w:rPr>
                                <w:b/>
                              </w:rPr>
                              <w:t xml:space="preserve"> </w:t>
                            </w:r>
                            <w:r w:rsidR="003D4E12">
                              <w:rPr>
                                <w:b/>
                              </w:rPr>
                              <w:t>]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pt;margin-top:258.55pt;width:466.2pt;height:21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">
                <v:textbox>
                  <w:txbxContent>
                    <w:p w:rsidR="001E4083" w:rsidRPr="003D4E12" w:rsidRDefault="00D300F2">
                      <w:pPr>
                        <w:rPr>
                          <w:b/>
                        </w:rPr>
                      </w:pPr>
                      <w:r>
                        <w:rPr>
                          <w:b/>
                        </w:rPr>
                        <w:t>Fiscal Impact:</w:t>
                      </w:r>
                      <w:r w:rsidR="001E4083" w:rsidRPr="0018238D">
                        <w:rPr>
                          <w:b/>
                        </w:rPr>
                        <w:t xml:space="preserve"> [</w:t>
                      </w:r>
                      <w:r w:rsidR="00CA1125">
                        <w:rPr>
                          <w:b/>
                        </w:rPr>
                        <w:t xml:space="preserve"> </w:t>
                      </w:r>
                      <w:r w:rsidR="001E4083" w:rsidRPr="0018238D">
                        <w:rPr>
                          <w:b/>
                        </w:rPr>
                        <w:t xml:space="preserve">] </w:t>
                      </w:r>
                      <w:r>
                        <w:rPr>
                          <w:b/>
                        </w:rPr>
                        <w:t>None</w:t>
                      </w:r>
                      <w:r w:rsidR="005936FF">
                        <w:rPr>
                          <w:b/>
                        </w:rPr>
                        <w:t xml:space="preserve">   [</w:t>
                      </w:r>
                      <w:r w:rsidR="00CA1125">
                        <w:rPr>
                          <w:b/>
                        </w:rPr>
                        <w:t>X</w:t>
                      </w:r>
                      <w:r w:rsidR="001E4083" w:rsidRPr="0018238D">
                        <w:rPr>
                          <w:b/>
                        </w:rPr>
                        <w:t>] Budgeted E</w:t>
                      </w:r>
                      <w:r w:rsidR="003D4E12">
                        <w:rPr>
                          <w:b/>
                        </w:rPr>
                        <w:t>xpenditure    [</w:t>
                      </w:r>
                      <w:r w:rsidR="002147B2">
                        <w:rPr>
                          <w:b/>
                        </w:rPr>
                        <w:t xml:space="preserve"> </w:t>
                      </w:r>
                      <w:r w:rsidR="003D4E12">
                        <w:rPr>
                          <w:b/>
                        </w:rPr>
                        <w:t>] Not Budgeted</w:t>
                      </w:r>
                    </w:p>
                  </w:txbxContent>
                </v:textbox>
                <w10:wrap type="square" anchorx="margin"/>
              </v:shape>
            </w:pict>
          </mc:Fallback>
        </mc:AlternateContent>
      </w:r>
      <w:r w:rsidR="00DB7AFF" w:rsidRPr="00B715B0">
        <w:rPr>
          <w:b/>
          <w:noProof/>
          <w:sz w:val="28"/>
          <w:szCs w:val="28"/>
        </w:rPr>
        <mc:AlternateContent>
          <mc:Choice Requires="wps">
            <w:drawing>
              <wp:anchor distT="45720" distB="45720" distL="114300" distR="114300" simplePos="0" relativeHeight="251657216" behindDoc="0" locked="0" layoutInCell="1" allowOverlap="1">
                <wp:simplePos x="0" y="0"/>
                <wp:positionH relativeFrom="margin">
                  <wp:align>right</wp:align>
                </wp:positionH>
                <wp:positionV relativeFrom="paragraph">
                  <wp:posOffset>756285</wp:posOffset>
                </wp:positionV>
                <wp:extent cx="5920740" cy="2486025"/>
                <wp:effectExtent l="0" t="0" r="2286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486025"/>
                        </a:xfrm>
                        <a:prstGeom prst="rect">
                          <a:avLst/>
                        </a:prstGeom>
                        <a:solidFill>
                          <a:srgbClr val="FFFFFF"/>
                        </a:solidFill>
                        <a:ln w="9525">
                          <a:solidFill>
                            <a:srgbClr val="000000"/>
                          </a:solidFill>
                          <a:miter lim="800000"/>
                          <a:headEnd/>
                          <a:tailEnd/>
                        </a:ln>
                      </wps:spPr>
                      <wps:txbx>
                        <w:txbxContent>
                          <w:p w:rsidR="000A523D" w:rsidRPr="006C5862" w:rsidRDefault="00644A98" w:rsidP="00F905DE">
                            <w:pPr>
                              <w:rPr>
                                <w:rFonts w:asciiTheme="majorHAnsi" w:hAnsiTheme="majorHAnsi" w:cstheme="majorHAnsi"/>
                                <w:sz w:val="22"/>
                                <w:szCs w:val="22"/>
                              </w:rPr>
                            </w:pPr>
                            <w:r>
                              <w:rPr>
                                <w:b/>
                                <w:i/>
                              </w:rPr>
                              <w:t>Background:</w:t>
                            </w:r>
                            <w:r>
                              <w:t xml:space="preserve"> </w:t>
                            </w:r>
                            <w:r w:rsidR="00A551DE">
                              <w:t xml:space="preserve"> </w:t>
                            </w:r>
                            <w:r w:rsidR="00655F9A" w:rsidRPr="00655F9A">
                              <w:t xml:space="preserve"> </w:t>
                            </w:r>
                            <w:r w:rsidR="00655F9A" w:rsidRPr="006C5862">
                              <w:rPr>
                                <w:sz w:val="22"/>
                                <w:szCs w:val="22"/>
                              </w:rPr>
                              <w:t xml:space="preserve"> </w:t>
                            </w:r>
                            <w:r w:rsidR="0070231C" w:rsidRPr="006C5862">
                              <w:rPr>
                                <w:rFonts w:asciiTheme="majorHAnsi" w:hAnsiTheme="majorHAnsi" w:cstheme="majorHAnsi"/>
                                <w:sz w:val="22"/>
                                <w:szCs w:val="22"/>
                              </w:rPr>
                              <w:t xml:space="preserve">This resolution authorizes </w:t>
                            </w:r>
                            <w:r w:rsidR="000A523D" w:rsidRPr="006C5862">
                              <w:rPr>
                                <w:rFonts w:asciiTheme="majorHAnsi" w:hAnsiTheme="majorHAnsi" w:cstheme="majorHAnsi"/>
                                <w:sz w:val="22"/>
                                <w:szCs w:val="22"/>
                              </w:rPr>
                              <w:t xml:space="preserve">the Sauk County Health Department </w:t>
                            </w:r>
                            <w:r w:rsidR="0070231C" w:rsidRPr="006C5862">
                              <w:rPr>
                                <w:rFonts w:asciiTheme="majorHAnsi" w:hAnsiTheme="majorHAnsi" w:cstheme="majorHAnsi"/>
                                <w:sz w:val="22"/>
                                <w:szCs w:val="22"/>
                              </w:rPr>
                              <w:t xml:space="preserve">to contract with </w:t>
                            </w:r>
                            <w:r w:rsidR="00DB7AFF">
                              <w:rPr>
                                <w:rFonts w:asciiTheme="majorHAnsi" w:hAnsiTheme="majorHAnsi" w:cstheme="majorHAnsi"/>
                                <w:sz w:val="22"/>
                                <w:szCs w:val="22"/>
                              </w:rPr>
                              <w:t>the Wisconsin Department of Justice</w:t>
                            </w:r>
                            <w:r w:rsidR="000A523D" w:rsidRPr="006C5862">
                              <w:rPr>
                                <w:rFonts w:asciiTheme="majorHAnsi" w:hAnsiTheme="majorHAnsi" w:cstheme="majorHAnsi"/>
                                <w:sz w:val="22"/>
                                <w:szCs w:val="22"/>
                              </w:rPr>
                              <w:t xml:space="preserve"> to receive </w:t>
                            </w:r>
                            <w:r w:rsidR="00DB7AFF">
                              <w:rPr>
                                <w:rFonts w:asciiTheme="majorHAnsi" w:hAnsiTheme="majorHAnsi" w:cstheme="majorHAnsi"/>
                                <w:sz w:val="22"/>
                                <w:szCs w:val="22"/>
                              </w:rPr>
                              <w:t>and carryout the Overdose Fatality Review grant</w:t>
                            </w:r>
                            <w:r w:rsidR="000A523D" w:rsidRPr="006C5862">
                              <w:rPr>
                                <w:rFonts w:asciiTheme="majorHAnsi" w:hAnsiTheme="majorHAnsi" w:cstheme="majorHAnsi"/>
                                <w:sz w:val="22"/>
                                <w:szCs w:val="22"/>
                              </w:rPr>
                              <w:t xml:space="preserve"> i</w:t>
                            </w:r>
                            <w:r w:rsidR="00DB7AFF">
                              <w:rPr>
                                <w:rFonts w:asciiTheme="majorHAnsi" w:hAnsiTheme="majorHAnsi" w:cstheme="majorHAnsi"/>
                                <w:sz w:val="22"/>
                                <w:szCs w:val="22"/>
                              </w:rPr>
                              <w:t>n the amount of $29,894</w:t>
                            </w:r>
                            <w:r w:rsidR="000A523D" w:rsidRPr="006C5862">
                              <w:rPr>
                                <w:rFonts w:asciiTheme="majorHAnsi" w:hAnsiTheme="majorHAnsi" w:cstheme="majorHAnsi"/>
                                <w:sz w:val="22"/>
                                <w:szCs w:val="22"/>
                              </w:rPr>
                              <w:t>, for the period of performance beginni</w:t>
                            </w:r>
                            <w:r w:rsidR="00C6476A" w:rsidRPr="006C5862">
                              <w:rPr>
                                <w:rFonts w:asciiTheme="majorHAnsi" w:hAnsiTheme="majorHAnsi" w:cstheme="majorHAnsi"/>
                                <w:sz w:val="22"/>
                                <w:szCs w:val="22"/>
                              </w:rPr>
                              <w:t>ng 9/1/2019 and ending 8/31/2020</w:t>
                            </w:r>
                            <w:r w:rsidR="000A523D" w:rsidRPr="006C5862">
                              <w:rPr>
                                <w:rFonts w:asciiTheme="majorHAnsi" w:hAnsiTheme="majorHAnsi" w:cstheme="majorHAnsi"/>
                                <w:sz w:val="22"/>
                                <w:szCs w:val="22"/>
                              </w:rPr>
                              <w:t>.</w:t>
                            </w:r>
                          </w:p>
                          <w:p w:rsidR="000C0E45" w:rsidRPr="006C5862" w:rsidRDefault="000C0E45" w:rsidP="00F905DE">
                            <w:pPr>
                              <w:rPr>
                                <w:rFonts w:asciiTheme="majorHAnsi" w:hAnsiTheme="majorHAnsi" w:cstheme="majorHAnsi"/>
                                <w:sz w:val="22"/>
                                <w:szCs w:val="22"/>
                              </w:rPr>
                            </w:pPr>
                          </w:p>
                          <w:p w:rsidR="000C0E45" w:rsidRDefault="000C0E45" w:rsidP="000C0E45">
                            <w:pPr>
                              <w:pStyle w:val="Default"/>
                              <w:rPr>
                                <w:rFonts w:asciiTheme="majorHAnsi" w:hAnsiTheme="majorHAnsi" w:cstheme="majorHAnsi"/>
                                <w:noProof/>
                                <w:sz w:val="22"/>
                                <w:szCs w:val="22"/>
                              </w:rPr>
                            </w:pPr>
                            <w:r w:rsidRPr="006C5862">
                              <w:rPr>
                                <w:rFonts w:asciiTheme="majorHAnsi" w:hAnsiTheme="majorHAnsi" w:cstheme="majorHAnsi"/>
                                <w:sz w:val="22"/>
                                <w:szCs w:val="22"/>
                              </w:rPr>
                              <w:t>This o</w:t>
                            </w:r>
                            <w:r w:rsidR="00DB7AFF">
                              <w:rPr>
                                <w:rFonts w:asciiTheme="majorHAnsi" w:hAnsiTheme="majorHAnsi" w:cstheme="majorHAnsi"/>
                                <w:sz w:val="22"/>
                                <w:szCs w:val="22"/>
                              </w:rPr>
                              <w:t>bjective of this contract is to</w:t>
                            </w:r>
                            <w:r w:rsidR="00DB7AFF" w:rsidRPr="00DB7AFF">
                              <w:rPr>
                                <w:rFonts w:asciiTheme="majorHAnsi" w:hAnsiTheme="majorHAnsi" w:cstheme="majorHAnsi"/>
                                <w:noProof/>
                                <w:sz w:val="22"/>
                                <w:szCs w:val="22"/>
                              </w:rPr>
                              <w:t xml:space="preserve"> facilitate a multi-agency overdose death review team to conduct confidential case reviews of overdose fatalities in Sauk County. The overdose death review team will prevent future overdose deaths in Sauk county by identifying missed opportunities for prevention and gaps in systems; building relationships between local stakeholders; recommending and implementing changes in policies, programs, practices, and laws; and informing local substance misuse and</w:t>
                            </w:r>
                            <w:r w:rsidR="00DB7AFF">
                              <w:rPr>
                                <w:rFonts w:asciiTheme="majorHAnsi" w:hAnsiTheme="majorHAnsi" w:cstheme="majorHAnsi"/>
                                <w:noProof/>
                                <w:sz w:val="22"/>
                                <w:szCs w:val="22"/>
                              </w:rPr>
                              <w:t xml:space="preserve"> overdose prevention strategies.</w:t>
                            </w:r>
                          </w:p>
                          <w:p w:rsidR="00DB7AFF" w:rsidRDefault="00DB7AFF" w:rsidP="000C0E45">
                            <w:pPr>
                              <w:pStyle w:val="Default"/>
                              <w:rPr>
                                <w:rFonts w:asciiTheme="majorHAnsi" w:hAnsiTheme="majorHAnsi" w:cstheme="majorHAnsi"/>
                                <w:noProof/>
                                <w:sz w:val="22"/>
                                <w:szCs w:val="22"/>
                              </w:rPr>
                            </w:pPr>
                          </w:p>
                          <w:p w:rsidR="00DB7AFF" w:rsidRPr="00DB7AFF" w:rsidRDefault="00DB7AFF" w:rsidP="000C0E45">
                            <w:pPr>
                              <w:pStyle w:val="Default"/>
                              <w:rPr>
                                <w:rFonts w:asciiTheme="majorHAnsi" w:hAnsiTheme="majorHAnsi" w:cstheme="majorHAnsi"/>
                                <w:sz w:val="22"/>
                                <w:szCs w:val="22"/>
                              </w:rPr>
                            </w:pPr>
                            <w:r>
                              <w:rPr>
                                <w:rFonts w:asciiTheme="majorHAnsi" w:hAnsiTheme="majorHAnsi" w:cstheme="majorHAnsi"/>
                                <w:noProof/>
                                <w:sz w:val="22"/>
                                <w:szCs w:val="22"/>
                              </w:rPr>
                              <w:t>This grant is a renewal of a grant the Health Department has held the last two years.</w:t>
                            </w:r>
                          </w:p>
                          <w:p w:rsidR="000C0E45" w:rsidRPr="000C0E45" w:rsidRDefault="000C0E45" w:rsidP="000C0E45">
                            <w:pPr>
                              <w:pStyle w:val="Default"/>
                              <w:rPr>
                                <w:color w:val="auto"/>
                              </w:rPr>
                            </w:pPr>
                            <w:r>
                              <w:rPr>
                                <w:sz w:val="20"/>
                                <w:szCs w:val="20"/>
                              </w:rPr>
                              <w:t xml:space="preserve"> </w:t>
                            </w:r>
                          </w:p>
                          <w:p w:rsidR="000C0E45" w:rsidRDefault="000C0E45" w:rsidP="00F905DE"/>
                          <w:p w:rsidR="00F37570" w:rsidRPr="00F37570" w:rsidRDefault="00F37570" w:rsidP="00F37570">
                            <w:pPr>
                              <w:rPr>
                                <w:iCs/>
                              </w:rPr>
                            </w:pPr>
                          </w:p>
                          <w:p w:rsidR="00F37570" w:rsidRDefault="00F37570" w:rsidP="00F905DE"/>
                          <w:p w:rsidR="00EA31D8" w:rsidRPr="00EA31D8" w:rsidRDefault="00EA31D8" w:rsidP="00CF02DC">
                            <w:pPr>
                              <w:spacing w:after="240"/>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15pt;margin-top:59.55pt;width:466.2pt;height:195.7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">
                <v:textbox>
                  <w:txbxContent>
                    <w:p w:rsidR="000A523D" w:rsidRPr="006C5862" w:rsidRDefault="00644A98" w:rsidP="00F905DE">
                      <w:pPr>
                        <w:rPr>
                          <w:rFonts w:asciiTheme="majorHAnsi" w:hAnsiTheme="majorHAnsi" w:cstheme="majorHAnsi"/>
                          <w:sz w:val="22"/>
                          <w:szCs w:val="22"/>
                        </w:rPr>
                      </w:pPr>
                      <w:r>
                        <w:rPr>
                          <w:b/>
                          <w:i/>
                        </w:rPr>
                        <w:t>Background:</w:t>
                      </w:r>
                      <w:r>
                        <w:t xml:space="preserve"> </w:t>
                      </w:r>
                      <w:r w:rsidR="00A551DE">
                        <w:t xml:space="preserve"> </w:t>
                      </w:r>
                      <w:r w:rsidR="00655F9A" w:rsidRPr="00655F9A">
                        <w:t xml:space="preserve"> </w:t>
                      </w:r>
                      <w:r w:rsidR="00655F9A" w:rsidRPr="006C5862">
                        <w:rPr>
                          <w:sz w:val="22"/>
                          <w:szCs w:val="22"/>
                        </w:rPr>
                        <w:t xml:space="preserve"> </w:t>
                      </w:r>
                      <w:r w:rsidR="0070231C" w:rsidRPr="006C5862">
                        <w:rPr>
                          <w:rFonts w:asciiTheme="majorHAnsi" w:hAnsiTheme="majorHAnsi" w:cstheme="majorHAnsi"/>
                          <w:sz w:val="22"/>
                          <w:szCs w:val="22"/>
                        </w:rPr>
                        <w:t xml:space="preserve">This resolution authorizes </w:t>
                      </w:r>
                      <w:r w:rsidR="000A523D" w:rsidRPr="006C5862">
                        <w:rPr>
                          <w:rFonts w:asciiTheme="majorHAnsi" w:hAnsiTheme="majorHAnsi" w:cstheme="majorHAnsi"/>
                          <w:sz w:val="22"/>
                          <w:szCs w:val="22"/>
                        </w:rPr>
                        <w:t xml:space="preserve">the Sauk County Health Department </w:t>
                      </w:r>
                      <w:r w:rsidR="0070231C" w:rsidRPr="006C5862">
                        <w:rPr>
                          <w:rFonts w:asciiTheme="majorHAnsi" w:hAnsiTheme="majorHAnsi" w:cstheme="majorHAnsi"/>
                          <w:sz w:val="22"/>
                          <w:szCs w:val="22"/>
                        </w:rPr>
                        <w:t xml:space="preserve">to contract with </w:t>
                      </w:r>
                      <w:r w:rsidR="00DB7AFF">
                        <w:rPr>
                          <w:rFonts w:asciiTheme="majorHAnsi" w:hAnsiTheme="majorHAnsi" w:cstheme="majorHAnsi"/>
                          <w:sz w:val="22"/>
                          <w:szCs w:val="22"/>
                        </w:rPr>
                        <w:t>the Wisconsin Department of Justice</w:t>
                      </w:r>
                      <w:r w:rsidR="000A523D" w:rsidRPr="006C5862">
                        <w:rPr>
                          <w:rFonts w:asciiTheme="majorHAnsi" w:hAnsiTheme="majorHAnsi" w:cstheme="majorHAnsi"/>
                          <w:sz w:val="22"/>
                          <w:szCs w:val="22"/>
                        </w:rPr>
                        <w:t xml:space="preserve"> to receive </w:t>
                      </w:r>
                      <w:r w:rsidR="00DB7AFF">
                        <w:rPr>
                          <w:rFonts w:asciiTheme="majorHAnsi" w:hAnsiTheme="majorHAnsi" w:cstheme="majorHAnsi"/>
                          <w:sz w:val="22"/>
                          <w:szCs w:val="22"/>
                        </w:rPr>
                        <w:t>and carryout the Overdose Fatality Review grant</w:t>
                      </w:r>
                      <w:r w:rsidR="000A523D" w:rsidRPr="006C5862">
                        <w:rPr>
                          <w:rFonts w:asciiTheme="majorHAnsi" w:hAnsiTheme="majorHAnsi" w:cstheme="majorHAnsi"/>
                          <w:sz w:val="22"/>
                          <w:szCs w:val="22"/>
                        </w:rPr>
                        <w:t xml:space="preserve"> i</w:t>
                      </w:r>
                      <w:r w:rsidR="00DB7AFF">
                        <w:rPr>
                          <w:rFonts w:asciiTheme="majorHAnsi" w:hAnsiTheme="majorHAnsi" w:cstheme="majorHAnsi"/>
                          <w:sz w:val="22"/>
                          <w:szCs w:val="22"/>
                        </w:rPr>
                        <w:t>n the amount of $29,894</w:t>
                      </w:r>
                      <w:r w:rsidR="000A523D" w:rsidRPr="006C5862">
                        <w:rPr>
                          <w:rFonts w:asciiTheme="majorHAnsi" w:hAnsiTheme="majorHAnsi" w:cstheme="majorHAnsi"/>
                          <w:sz w:val="22"/>
                          <w:szCs w:val="22"/>
                        </w:rPr>
                        <w:t>, for the period of performance beginni</w:t>
                      </w:r>
                      <w:r w:rsidR="00C6476A" w:rsidRPr="006C5862">
                        <w:rPr>
                          <w:rFonts w:asciiTheme="majorHAnsi" w:hAnsiTheme="majorHAnsi" w:cstheme="majorHAnsi"/>
                          <w:sz w:val="22"/>
                          <w:szCs w:val="22"/>
                        </w:rPr>
                        <w:t>ng 9/1/2019 and ending 8/31/2020</w:t>
                      </w:r>
                      <w:r w:rsidR="000A523D" w:rsidRPr="006C5862">
                        <w:rPr>
                          <w:rFonts w:asciiTheme="majorHAnsi" w:hAnsiTheme="majorHAnsi" w:cstheme="majorHAnsi"/>
                          <w:sz w:val="22"/>
                          <w:szCs w:val="22"/>
                        </w:rPr>
                        <w:t>.</w:t>
                      </w:r>
                    </w:p>
                    <w:p w:rsidR="000C0E45" w:rsidRPr="006C5862" w:rsidRDefault="000C0E45" w:rsidP="00F905DE">
                      <w:pPr>
                        <w:rPr>
                          <w:rFonts w:asciiTheme="majorHAnsi" w:hAnsiTheme="majorHAnsi" w:cstheme="majorHAnsi"/>
                          <w:sz w:val="22"/>
                          <w:szCs w:val="22"/>
                        </w:rPr>
                      </w:pPr>
                    </w:p>
                    <w:p w:rsidR="000C0E45" w:rsidRDefault="000C0E45" w:rsidP="000C0E45">
                      <w:pPr>
                        <w:pStyle w:val="Default"/>
                        <w:rPr>
                          <w:rFonts w:asciiTheme="majorHAnsi" w:hAnsiTheme="majorHAnsi" w:cstheme="majorHAnsi"/>
                          <w:noProof/>
                          <w:sz w:val="22"/>
                          <w:szCs w:val="22"/>
                        </w:rPr>
                      </w:pPr>
                      <w:r w:rsidRPr="006C5862">
                        <w:rPr>
                          <w:rFonts w:asciiTheme="majorHAnsi" w:hAnsiTheme="majorHAnsi" w:cstheme="majorHAnsi"/>
                          <w:sz w:val="22"/>
                          <w:szCs w:val="22"/>
                        </w:rPr>
                        <w:t>This o</w:t>
                      </w:r>
                      <w:r w:rsidR="00DB7AFF">
                        <w:rPr>
                          <w:rFonts w:asciiTheme="majorHAnsi" w:hAnsiTheme="majorHAnsi" w:cstheme="majorHAnsi"/>
                          <w:sz w:val="22"/>
                          <w:szCs w:val="22"/>
                        </w:rPr>
                        <w:t>bjective of this contract is to</w:t>
                      </w:r>
                      <w:r w:rsidR="00DB7AFF" w:rsidRPr="00DB7AFF">
                        <w:rPr>
                          <w:rFonts w:asciiTheme="majorHAnsi" w:hAnsiTheme="majorHAnsi" w:cstheme="majorHAnsi"/>
                          <w:noProof/>
                          <w:sz w:val="22"/>
                          <w:szCs w:val="22"/>
                        </w:rPr>
                        <w:t xml:space="preserve"> facilitate a multi-agency overdose death review team to conduct confidential case reviews of overdose fatalities in Sauk County. The overdose death review team will prevent future overdose deaths in Sauk county by identifying missed opportunities for prevention and gaps in systems; building relationships between local stakeholders; recommending and implementing changes in policies, programs, practices, and laws; and informing local substance misuse and</w:t>
                      </w:r>
                      <w:r w:rsidR="00DB7AFF">
                        <w:rPr>
                          <w:rFonts w:asciiTheme="majorHAnsi" w:hAnsiTheme="majorHAnsi" w:cstheme="majorHAnsi"/>
                          <w:noProof/>
                          <w:sz w:val="22"/>
                          <w:szCs w:val="22"/>
                        </w:rPr>
                        <w:t xml:space="preserve"> overdose prevention strategies.</w:t>
                      </w:r>
                    </w:p>
                    <w:p w:rsidR="00DB7AFF" w:rsidRDefault="00DB7AFF" w:rsidP="000C0E45">
                      <w:pPr>
                        <w:pStyle w:val="Default"/>
                        <w:rPr>
                          <w:rFonts w:asciiTheme="majorHAnsi" w:hAnsiTheme="majorHAnsi" w:cstheme="majorHAnsi"/>
                          <w:noProof/>
                          <w:sz w:val="22"/>
                          <w:szCs w:val="22"/>
                        </w:rPr>
                      </w:pPr>
                    </w:p>
                    <w:p w:rsidR="00DB7AFF" w:rsidRPr="00DB7AFF" w:rsidRDefault="00DB7AFF" w:rsidP="000C0E45">
                      <w:pPr>
                        <w:pStyle w:val="Default"/>
                        <w:rPr>
                          <w:rFonts w:asciiTheme="majorHAnsi" w:hAnsiTheme="majorHAnsi" w:cstheme="majorHAnsi"/>
                          <w:sz w:val="22"/>
                          <w:szCs w:val="22"/>
                        </w:rPr>
                      </w:pPr>
                      <w:r>
                        <w:rPr>
                          <w:rFonts w:asciiTheme="majorHAnsi" w:hAnsiTheme="majorHAnsi" w:cstheme="majorHAnsi"/>
                          <w:noProof/>
                          <w:sz w:val="22"/>
                          <w:szCs w:val="22"/>
                        </w:rPr>
                        <w:t>This grant is a renewal of a grant the Health Department has held the last two years.</w:t>
                      </w:r>
                    </w:p>
                    <w:p w:rsidR="000C0E45" w:rsidRPr="000C0E45" w:rsidRDefault="000C0E45" w:rsidP="000C0E45">
                      <w:pPr>
                        <w:pStyle w:val="Default"/>
                        <w:rPr>
                          <w:color w:val="auto"/>
                        </w:rPr>
                      </w:pPr>
                      <w:r>
                        <w:rPr>
                          <w:sz w:val="20"/>
                          <w:szCs w:val="20"/>
                        </w:rPr>
                        <w:t xml:space="preserve"> </w:t>
                      </w:r>
                    </w:p>
                    <w:p w:rsidR="000C0E45" w:rsidRDefault="000C0E45" w:rsidP="00F905DE"/>
                    <w:p w:rsidR="00F37570" w:rsidRPr="00F37570" w:rsidRDefault="00F37570" w:rsidP="00F37570">
                      <w:pPr>
                        <w:rPr>
                          <w:iCs/>
                        </w:rPr>
                      </w:pPr>
                    </w:p>
                    <w:p w:rsidR="00F37570" w:rsidRDefault="00F37570" w:rsidP="00F905DE"/>
                    <w:p w:rsidR="00EA31D8" w:rsidRPr="00EA31D8" w:rsidRDefault="00EA31D8" w:rsidP="00CF02DC">
                      <w:pPr>
                        <w:spacing w:after="240"/>
                        <w:jc w:val="both"/>
                      </w:pPr>
                    </w:p>
                  </w:txbxContent>
                </v:textbox>
                <w10:wrap type="square" anchorx="margin"/>
              </v:shape>
            </w:pict>
          </mc:Fallback>
        </mc:AlternateContent>
      </w:r>
      <w:r w:rsidR="00B715B0" w:rsidRPr="00B715B0">
        <w:rPr>
          <w:b/>
          <w:sz w:val="28"/>
          <w:szCs w:val="28"/>
        </w:rPr>
        <w:t>A</w:t>
      </w:r>
      <w:r w:rsidR="00B715B0" w:rsidRPr="00870378">
        <w:rPr>
          <w:b/>
          <w:szCs w:val="24"/>
        </w:rPr>
        <w:t xml:space="preserve">UTHORIZING </w:t>
      </w:r>
      <w:r w:rsidR="00DB7AFF">
        <w:rPr>
          <w:b/>
          <w:szCs w:val="24"/>
        </w:rPr>
        <w:t>THE OVERDOSE FATALITY REVIEW GRANT</w:t>
      </w:r>
    </w:p>
    <w:p w:rsidR="00DB7AFF" w:rsidRPr="00870378" w:rsidRDefault="00DB7AFF"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Cs w:val="24"/>
        </w:rPr>
      </w:pPr>
    </w:p>
    <w:p w:rsidR="00CC206B" w:rsidRPr="0023321F" w:rsidRDefault="00CC206B"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p>
    <w:p w:rsidR="002147B2" w:rsidRPr="00CA1125" w:rsidRDefault="00CA1125"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r>
        <w:rPr>
          <w:b/>
          <w:sz w:val="22"/>
          <w:szCs w:val="22"/>
        </w:rPr>
        <w:tab/>
      </w:r>
      <w:r w:rsidR="00273D83" w:rsidRPr="00CA1125">
        <w:rPr>
          <w:b/>
          <w:sz w:val="22"/>
          <w:szCs w:val="22"/>
        </w:rPr>
        <w:t>NOW, THEREFORE, BE IT RESOLVED</w:t>
      </w:r>
      <w:r w:rsidR="00273D83" w:rsidRPr="00CA1125">
        <w:rPr>
          <w:sz w:val="22"/>
          <w:szCs w:val="22"/>
        </w:rPr>
        <w:t xml:space="preserve">, </w:t>
      </w:r>
      <w:r w:rsidR="00C6476A" w:rsidRPr="00CA1125">
        <w:rPr>
          <w:sz w:val="22"/>
          <w:szCs w:val="22"/>
        </w:rPr>
        <w:t>by</w:t>
      </w:r>
      <w:r w:rsidR="000456A2" w:rsidRPr="00CA1125">
        <w:rPr>
          <w:sz w:val="22"/>
          <w:szCs w:val="22"/>
        </w:rPr>
        <w:t xml:space="preserve"> the Sauk County Board of </w:t>
      </w:r>
      <w:r w:rsidR="003516A6" w:rsidRPr="00CA1125">
        <w:rPr>
          <w:sz w:val="22"/>
          <w:szCs w:val="22"/>
        </w:rPr>
        <w:t>Supervisors</w:t>
      </w:r>
      <w:r w:rsidR="00C6476A" w:rsidRPr="00CA1125">
        <w:rPr>
          <w:sz w:val="22"/>
          <w:szCs w:val="22"/>
        </w:rPr>
        <w:t>, who</w:t>
      </w:r>
      <w:r w:rsidR="000456A2" w:rsidRPr="00CA1125">
        <w:rPr>
          <w:sz w:val="22"/>
          <w:szCs w:val="22"/>
        </w:rPr>
        <w:t xml:space="preserve"> met in regular session, that the Sauk County</w:t>
      </w:r>
      <w:r w:rsidR="00EE33CC" w:rsidRPr="00CA1125">
        <w:rPr>
          <w:sz w:val="22"/>
          <w:szCs w:val="22"/>
        </w:rPr>
        <w:t xml:space="preserve"> Board </w:t>
      </w:r>
      <w:r>
        <w:rPr>
          <w:sz w:val="22"/>
          <w:szCs w:val="22"/>
        </w:rPr>
        <w:t xml:space="preserve">of  </w:t>
      </w:r>
      <w:r w:rsidR="00C6476A" w:rsidRPr="00CA1125">
        <w:rPr>
          <w:sz w:val="22"/>
          <w:szCs w:val="22"/>
        </w:rPr>
        <w:t>Supervisor</w:t>
      </w:r>
      <w:r w:rsidR="00EE33CC" w:rsidRPr="00CA1125">
        <w:rPr>
          <w:sz w:val="22"/>
          <w:szCs w:val="22"/>
        </w:rPr>
        <w:t>s</w:t>
      </w:r>
      <w:r w:rsidR="000456A2" w:rsidRPr="00CA1125">
        <w:rPr>
          <w:sz w:val="22"/>
          <w:szCs w:val="22"/>
        </w:rPr>
        <w:t xml:space="preserve"> authorize </w:t>
      </w:r>
      <w:r w:rsidR="00C6476A" w:rsidRPr="00CA1125">
        <w:rPr>
          <w:sz w:val="22"/>
          <w:szCs w:val="22"/>
        </w:rPr>
        <w:t xml:space="preserve">the Sauk County Health Department </w:t>
      </w:r>
      <w:r w:rsidR="00A93F4A" w:rsidRPr="00CA1125">
        <w:rPr>
          <w:sz w:val="22"/>
          <w:szCs w:val="22"/>
        </w:rPr>
        <w:t>to enter in</w:t>
      </w:r>
      <w:r w:rsidR="0063425A" w:rsidRPr="00CA1125">
        <w:rPr>
          <w:sz w:val="22"/>
          <w:szCs w:val="22"/>
        </w:rPr>
        <w:t xml:space="preserve"> </w:t>
      </w:r>
      <w:r w:rsidR="00A93F4A" w:rsidRPr="00CA1125">
        <w:rPr>
          <w:sz w:val="22"/>
          <w:szCs w:val="22"/>
        </w:rPr>
        <w:t xml:space="preserve">to a </w:t>
      </w:r>
      <w:r w:rsidR="003516A6" w:rsidRPr="00CA1125">
        <w:rPr>
          <w:sz w:val="22"/>
          <w:szCs w:val="22"/>
        </w:rPr>
        <w:t xml:space="preserve">one </w:t>
      </w:r>
      <w:r w:rsidR="0097516B" w:rsidRPr="00CA1125">
        <w:rPr>
          <w:sz w:val="22"/>
          <w:szCs w:val="22"/>
        </w:rPr>
        <w:t xml:space="preserve">year </w:t>
      </w:r>
      <w:r w:rsidR="003516A6" w:rsidRPr="00CA1125">
        <w:rPr>
          <w:sz w:val="22"/>
          <w:szCs w:val="22"/>
        </w:rPr>
        <w:t xml:space="preserve">contract with the </w:t>
      </w:r>
      <w:r w:rsidR="00DB7AFF">
        <w:rPr>
          <w:sz w:val="22"/>
          <w:szCs w:val="22"/>
        </w:rPr>
        <w:t>Wisconsin Department of Justice</w:t>
      </w:r>
      <w:r w:rsidR="000456A2" w:rsidRPr="00CA1125">
        <w:rPr>
          <w:sz w:val="22"/>
          <w:szCs w:val="22"/>
        </w:rPr>
        <w:t xml:space="preserve">, effective </w:t>
      </w:r>
      <w:r w:rsidR="003516A6" w:rsidRPr="00CA1125">
        <w:rPr>
          <w:color w:val="auto"/>
          <w:sz w:val="22"/>
          <w:szCs w:val="22"/>
        </w:rPr>
        <w:t>September 01, 2019</w:t>
      </w:r>
      <w:r w:rsidR="000456A2" w:rsidRPr="00CA1125">
        <w:rPr>
          <w:color w:val="auto"/>
          <w:sz w:val="22"/>
          <w:szCs w:val="22"/>
        </w:rPr>
        <w:t>.</w:t>
      </w:r>
    </w:p>
    <w:p w:rsidR="00CF02DC" w:rsidRPr="00CA1125" w:rsidRDefault="00CF02DC"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p>
    <w:p w:rsidR="00A966DA" w:rsidRPr="00CA1125" w:rsidRDefault="009D5159" w:rsidP="00867969">
      <w:pPr>
        <w:pStyle w:val="DefaultText"/>
        <w:rPr>
          <w:rStyle w:val="InitialStyle"/>
          <w:rFonts w:ascii="Times New Roman" w:hAnsi="Times New Roman"/>
          <w:sz w:val="22"/>
          <w:szCs w:val="22"/>
        </w:rPr>
      </w:pPr>
      <w:r w:rsidRPr="00CA1125">
        <w:rPr>
          <w:rStyle w:val="InitialStyle"/>
          <w:rFonts w:ascii="Times New Roman" w:hAnsi="Times New Roman"/>
          <w:sz w:val="22"/>
          <w:szCs w:val="22"/>
        </w:rPr>
        <w:t xml:space="preserve">For consideration by the Sauk County Board of Supervisors on </w:t>
      </w:r>
      <w:r w:rsidR="00DB7AFF">
        <w:rPr>
          <w:rStyle w:val="InitialStyle"/>
          <w:rFonts w:ascii="Times New Roman" w:hAnsi="Times New Roman"/>
          <w:sz w:val="22"/>
          <w:szCs w:val="22"/>
        </w:rPr>
        <w:t>May 19</w:t>
      </w:r>
      <w:r w:rsidR="00F576CE" w:rsidRPr="00CA1125">
        <w:rPr>
          <w:rStyle w:val="InitialStyle"/>
          <w:rFonts w:ascii="Times New Roman" w:hAnsi="Times New Roman"/>
          <w:sz w:val="22"/>
          <w:szCs w:val="22"/>
        </w:rPr>
        <w:t>,</w:t>
      </w:r>
      <w:r w:rsidR="0062220E" w:rsidRPr="00CA1125">
        <w:rPr>
          <w:rStyle w:val="InitialStyle"/>
          <w:rFonts w:ascii="Times New Roman" w:hAnsi="Times New Roman"/>
          <w:sz w:val="22"/>
          <w:szCs w:val="22"/>
        </w:rPr>
        <w:t xml:space="preserve"> 2020</w:t>
      </w:r>
      <w:r w:rsidR="007F44F8" w:rsidRPr="00CA1125">
        <w:rPr>
          <w:rStyle w:val="InitialStyle"/>
          <w:rFonts w:ascii="Times New Roman" w:hAnsi="Times New Roman"/>
          <w:sz w:val="22"/>
          <w:szCs w:val="22"/>
        </w:rPr>
        <w:t>.</w:t>
      </w:r>
    </w:p>
    <w:p w:rsidR="00A966DA" w:rsidRPr="00CA1125" w:rsidRDefault="00A966DA">
      <w:pPr>
        <w:pStyle w:val="DefaultText"/>
        <w:jc w:val="both"/>
        <w:rPr>
          <w:rStyle w:val="InitialStyle"/>
          <w:rFonts w:ascii="Times New Roman" w:hAnsi="Times New Roman"/>
          <w:sz w:val="22"/>
          <w:szCs w:val="22"/>
        </w:rPr>
      </w:pPr>
    </w:p>
    <w:p w:rsidR="009D5159" w:rsidRPr="00CA1125" w:rsidRDefault="009D5159">
      <w:pPr>
        <w:pStyle w:val="DefaultText"/>
        <w:jc w:val="both"/>
        <w:rPr>
          <w:b/>
          <w:sz w:val="22"/>
          <w:szCs w:val="22"/>
        </w:rPr>
      </w:pPr>
      <w:r w:rsidRPr="00CA1125">
        <w:rPr>
          <w:rStyle w:val="InitialStyle"/>
          <w:rFonts w:ascii="Times New Roman" w:hAnsi="Times New Roman"/>
          <w:sz w:val="22"/>
          <w:szCs w:val="22"/>
        </w:rPr>
        <w:t>Respectfully submitted,</w:t>
      </w:r>
    </w:p>
    <w:p w:rsidR="009D5159" w:rsidRPr="00CA1125" w:rsidRDefault="009D5159">
      <w:pPr>
        <w:pStyle w:val="DefaultText"/>
        <w:rPr>
          <w:rStyle w:val="InitialStyle"/>
          <w:rFonts w:ascii="Times New Roman" w:hAnsi="Times New Roman"/>
          <w:sz w:val="22"/>
          <w:szCs w:val="22"/>
        </w:rPr>
      </w:pPr>
    </w:p>
    <w:p w:rsidR="006D309C" w:rsidRPr="00CA1125" w:rsidRDefault="006D309C" w:rsidP="00A671BB">
      <w:pPr>
        <w:pStyle w:val="DefaultText"/>
        <w:rPr>
          <w:b/>
          <w:bCs/>
          <w:sz w:val="22"/>
          <w:szCs w:val="22"/>
        </w:rPr>
      </w:pPr>
    </w:p>
    <w:p w:rsidR="00A93F4A" w:rsidRPr="00CA1125" w:rsidRDefault="00A93F4A" w:rsidP="00A93F4A">
      <w:pPr>
        <w:pStyle w:val="DefaultText"/>
        <w:jc w:val="both"/>
        <w:rPr>
          <w:rStyle w:val="InitialStyle"/>
          <w:rFonts w:ascii="Times New Roman" w:hAnsi="Times New Roman"/>
          <w:b/>
          <w:sz w:val="22"/>
          <w:szCs w:val="22"/>
        </w:rPr>
      </w:pPr>
      <w:r w:rsidRPr="00CA1125">
        <w:rPr>
          <w:rStyle w:val="InitialStyle"/>
          <w:rFonts w:ascii="Times New Roman" w:hAnsi="Times New Roman"/>
          <w:b/>
          <w:sz w:val="22"/>
          <w:szCs w:val="22"/>
        </w:rPr>
        <w:t>BOARD OF HEALTH COMMITTEE</w:t>
      </w:r>
    </w:p>
    <w:p w:rsidR="00A93F4A" w:rsidRPr="00CA1125" w:rsidRDefault="00A93F4A" w:rsidP="00A93F4A">
      <w:pPr>
        <w:pStyle w:val="DefaultText"/>
        <w:jc w:val="both"/>
        <w:rPr>
          <w:rStyle w:val="InitialStyle"/>
          <w:rFonts w:ascii="Times New Roman" w:hAnsi="Times New Roman"/>
          <w:b/>
          <w:sz w:val="22"/>
          <w:szCs w:val="22"/>
        </w:rPr>
      </w:pPr>
    </w:p>
    <w:p w:rsidR="00A93F4A" w:rsidRPr="00CA1125" w:rsidRDefault="00A93F4A" w:rsidP="00A93F4A">
      <w:pPr>
        <w:pStyle w:val="DefaultText"/>
        <w:jc w:val="both"/>
        <w:rPr>
          <w:color w:val="auto"/>
          <w:sz w:val="22"/>
          <w:szCs w:val="22"/>
        </w:rPr>
      </w:pPr>
      <w:r w:rsidRPr="00CA1125">
        <w:rPr>
          <w:color w:val="auto"/>
          <w:sz w:val="22"/>
          <w:szCs w:val="22"/>
        </w:rPr>
        <w:t>________________________________</w:t>
      </w:r>
      <w:r w:rsidRPr="00CA1125">
        <w:rPr>
          <w:color w:val="auto"/>
          <w:sz w:val="22"/>
          <w:szCs w:val="22"/>
        </w:rPr>
        <w:tab/>
      </w:r>
      <w:r w:rsidRPr="00CA1125">
        <w:rPr>
          <w:color w:val="auto"/>
          <w:sz w:val="22"/>
          <w:szCs w:val="22"/>
        </w:rPr>
        <w:tab/>
        <w:t>_______________________________</w:t>
      </w:r>
    </w:p>
    <w:p w:rsidR="00A93F4A" w:rsidRPr="00CA1125" w:rsidRDefault="00297582" w:rsidP="00A93F4A">
      <w:pPr>
        <w:pStyle w:val="DefaultText"/>
        <w:jc w:val="both"/>
        <w:rPr>
          <w:color w:val="auto"/>
          <w:sz w:val="22"/>
          <w:szCs w:val="22"/>
        </w:rPr>
      </w:pPr>
      <w:r>
        <w:rPr>
          <w:color w:val="auto"/>
          <w:sz w:val="22"/>
          <w:szCs w:val="22"/>
        </w:rPr>
        <w:t>PATRICIA REGO</w:t>
      </w:r>
      <w:r w:rsidR="00DB7AFF">
        <w:rPr>
          <w:color w:val="auto"/>
          <w:sz w:val="22"/>
          <w:szCs w:val="22"/>
        </w:rPr>
        <w:tab/>
      </w:r>
      <w:r w:rsidR="00CA1125">
        <w:rPr>
          <w:color w:val="auto"/>
          <w:sz w:val="22"/>
          <w:szCs w:val="22"/>
        </w:rPr>
        <w:tab/>
      </w:r>
      <w:r w:rsidR="00CA1125">
        <w:rPr>
          <w:color w:val="auto"/>
          <w:sz w:val="22"/>
          <w:szCs w:val="22"/>
        </w:rPr>
        <w:tab/>
      </w:r>
      <w:r w:rsidR="00CA1125">
        <w:rPr>
          <w:color w:val="auto"/>
          <w:sz w:val="22"/>
          <w:szCs w:val="22"/>
        </w:rPr>
        <w:tab/>
      </w:r>
      <w:r w:rsidR="00DB7AFF">
        <w:rPr>
          <w:color w:val="auto"/>
          <w:sz w:val="22"/>
          <w:szCs w:val="22"/>
        </w:rPr>
        <w:t>REBECCA KLITZKE</w:t>
      </w:r>
    </w:p>
    <w:p w:rsidR="00A93F4A" w:rsidRPr="00CA1125" w:rsidRDefault="00A93F4A" w:rsidP="00A93F4A">
      <w:pPr>
        <w:pStyle w:val="DefaultText"/>
        <w:jc w:val="both"/>
        <w:rPr>
          <w:color w:val="auto"/>
          <w:sz w:val="22"/>
          <w:szCs w:val="22"/>
        </w:rPr>
      </w:pPr>
    </w:p>
    <w:p w:rsidR="00A93F4A" w:rsidRPr="00CA1125" w:rsidRDefault="00A93F4A" w:rsidP="00A93F4A">
      <w:pPr>
        <w:pStyle w:val="DefaultText"/>
        <w:jc w:val="both"/>
        <w:rPr>
          <w:color w:val="auto"/>
          <w:sz w:val="22"/>
          <w:szCs w:val="22"/>
        </w:rPr>
      </w:pPr>
      <w:r w:rsidRPr="00CA1125">
        <w:rPr>
          <w:color w:val="auto"/>
          <w:sz w:val="22"/>
          <w:szCs w:val="22"/>
        </w:rPr>
        <w:t>_____________________</w:t>
      </w:r>
      <w:bookmarkStart w:id="0" w:name="_GoBack"/>
      <w:bookmarkEnd w:id="0"/>
      <w:r w:rsidRPr="00CA1125">
        <w:rPr>
          <w:color w:val="auto"/>
          <w:sz w:val="22"/>
          <w:szCs w:val="22"/>
        </w:rPr>
        <w:t>___________</w:t>
      </w:r>
      <w:r w:rsidRPr="00CA1125">
        <w:rPr>
          <w:color w:val="auto"/>
          <w:sz w:val="22"/>
          <w:szCs w:val="22"/>
        </w:rPr>
        <w:tab/>
      </w:r>
      <w:r w:rsidRPr="00CA1125">
        <w:rPr>
          <w:color w:val="auto"/>
          <w:sz w:val="22"/>
          <w:szCs w:val="22"/>
        </w:rPr>
        <w:tab/>
        <w:t>_______________________________</w:t>
      </w:r>
    </w:p>
    <w:p w:rsidR="00A93F4A" w:rsidRPr="00CA1125" w:rsidRDefault="00DB7AFF" w:rsidP="00A93F4A">
      <w:pPr>
        <w:pStyle w:val="DefaultText"/>
        <w:jc w:val="both"/>
        <w:rPr>
          <w:color w:val="auto"/>
          <w:sz w:val="22"/>
          <w:szCs w:val="22"/>
        </w:rPr>
      </w:pPr>
      <w:r>
        <w:rPr>
          <w:color w:val="auto"/>
          <w:sz w:val="22"/>
          <w:szCs w:val="22"/>
        </w:rPr>
        <w:t>THOMAS DORNER</w:t>
      </w:r>
      <w:r w:rsidR="00A93F4A" w:rsidRPr="00CA1125">
        <w:rPr>
          <w:color w:val="auto"/>
          <w:sz w:val="22"/>
          <w:szCs w:val="22"/>
        </w:rPr>
        <w:tab/>
      </w:r>
      <w:r w:rsidR="00A93F4A" w:rsidRPr="00CA1125">
        <w:rPr>
          <w:color w:val="auto"/>
          <w:sz w:val="22"/>
          <w:szCs w:val="22"/>
        </w:rPr>
        <w:tab/>
      </w:r>
      <w:r w:rsidR="00A93F4A" w:rsidRPr="00CA1125">
        <w:rPr>
          <w:color w:val="auto"/>
          <w:sz w:val="22"/>
          <w:szCs w:val="22"/>
        </w:rPr>
        <w:tab/>
      </w:r>
      <w:r>
        <w:rPr>
          <w:color w:val="auto"/>
          <w:sz w:val="22"/>
          <w:szCs w:val="22"/>
        </w:rPr>
        <w:tab/>
      </w:r>
      <w:r w:rsidR="00297582">
        <w:rPr>
          <w:color w:val="auto"/>
          <w:sz w:val="22"/>
          <w:szCs w:val="22"/>
        </w:rPr>
        <w:t>DONNA STEHLING</w:t>
      </w:r>
    </w:p>
    <w:p w:rsidR="00A93F4A" w:rsidRPr="00CA1125" w:rsidRDefault="00A93F4A" w:rsidP="00A93F4A">
      <w:pPr>
        <w:pStyle w:val="DefaultText"/>
        <w:jc w:val="both"/>
        <w:rPr>
          <w:color w:val="auto"/>
          <w:sz w:val="22"/>
          <w:szCs w:val="22"/>
        </w:rPr>
      </w:pPr>
    </w:p>
    <w:p w:rsidR="00A93F4A" w:rsidRPr="00CA1125" w:rsidRDefault="003516A6" w:rsidP="00A93F4A">
      <w:pPr>
        <w:pStyle w:val="DefaultText"/>
        <w:jc w:val="both"/>
        <w:rPr>
          <w:color w:val="auto"/>
          <w:sz w:val="22"/>
          <w:szCs w:val="22"/>
        </w:rPr>
      </w:pPr>
      <w:r w:rsidRPr="00CA1125">
        <w:rPr>
          <w:color w:val="auto"/>
          <w:sz w:val="22"/>
          <w:szCs w:val="22"/>
        </w:rPr>
        <w:t>________________________________</w:t>
      </w:r>
      <w:r w:rsidRPr="00CA1125">
        <w:rPr>
          <w:color w:val="auto"/>
          <w:sz w:val="22"/>
          <w:szCs w:val="22"/>
        </w:rPr>
        <w:tab/>
      </w:r>
      <w:r w:rsidRPr="00CA1125">
        <w:rPr>
          <w:color w:val="auto"/>
          <w:sz w:val="22"/>
          <w:szCs w:val="22"/>
        </w:rPr>
        <w:tab/>
      </w:r>
      <w:r w:rsidR="00A93F4A" w:rsidRPr="00CA1125">
        <w:rPr>
          <w:color w:val="auto"/>
          <w:sz w:val="22"/>
          <w:szCs w:val="22"/>
        </w:rPr>
        <w:t>________________________________</w:t>
      </w:r>
      <w:r w:rsidR="00A93F4A" w:rsidRPr="00CA1125">
        <w:rPr>
          <w:color w:val="auto"/>
          <w:sz w:val="22"/>
          <w:szCs w:val="22"/>
        </w:rPr>
        <w:tab/>
      </w:r>
      <w:r w:rsidR="00A93F4A" w:rsidRPr="00CA1125">
        <w:rPr>
          <w:color w:val="auto"/>
          <w:sz w:val="22"/>
          <w:szCs w:val="22"/>
        </w:rPr>
        <w:tab/>
      </w:r>
      <w:r w:rsidRPr="00CA1125">
        <w:rPr>
          <w:color w:val="auto"/>
          <w:sz w:val="22"/>
          <w:szCs w:val="22"/>
        </w:rPr>
        <w:br/>
      </w:r>
      <w:r w:rsidR="00A93F4A" w:rsidRPr="00CA1125">
        <w:rPr>
          <w:color w:val="auto"/>
          <w:sz w:val="22"/>
          <w:szCs w:val="22"/>
        </w:rPr>
        <w:t>DIANE REINFELDT</w:t>
      </w:r>
      <w:r w:rsidR="00A93F4A" w:rsidRPr="00CA1125">
        <w:rPr>
          <w:color w:val="auto"/>
          <w:sz w:val="22"/>
          <w:szCs w:val="22"/>
        </w:rPr>
        <w:tab/>
      </w:r>
      <w:r w:rsidR="00A93F4A" w:rsidRPr="00CA1125">
        <w:rPr>
          <w:color w:val="auto"/>
          <w:sz w:val="22"/>
          <w:szCs w:val="22"/>
        </w:rPr>
        <w:tab/>
      </w:r>
      <w:r w:rsidR="00A93F4A" w:rsidRPr="00CA1125">
        <w:rPr>
          <w:color w:val="auto"/>
          <w:sz w:val="22"/>
          <w:szCs w:val="22"/>
        </w:rPr>
        <w:tab/>
      </w:r>
      <w:r w:rsidR="00A93F4A" w:rsidRPr="00CA1125">
        <w:rPr>
          <w:color w:val="auto"/>
          <w:sz w:val="22"/>
          <w:szCs w:val="22"/>
        </w:rPr>
        <w:tab/>
        <w:t>KIANA BEAUDIN</w:t>
      </w:r>
    </w:p>
    <w:p w:rsidR="00A93F4A" w:rsidRPr="00CA1125" w:rsidRDefault="00A93F4A" w:rsidP="00A93F4A">
      <w:pPr>
        <w:pStyle w:val="DefaultText"/>
        <w:jc w:val="both"/>
        <w:rPr>
          <w:color w:val="auto"/>
          <w:sz w:val="22"/>
          <w:szCs w:val="22"/>
        </w:rPr>
      </w:pPr>
    </w:p>
    <w:p w:rsidR="00A93F4A" w:rsidRPr="00CA1125" w:rsidRDefault="00A93F4A" w:rsidP="00A93F4A">
      <w:pPr>
        <w:pStyle w:val="DefaultText"/>
        <w:jc w:val="both"/>
        <w:rPr>
          <w:color w:val="auto"/>
          <w:sz w:val="22"/>
          <w:szCs w:val="22"/>
        </w:rPr>
      </w:pPr>
      <w:r w:rsidRPr="00CA1125">
        <w:rPr>
          <w:color w:val="auto"/>
          <w:sz w:val="22"/>
          <w:szCs w:val="22"/>
        </w:rPr>
        <w:t>________________________________</w:t>
      </w:r>
    </w:p>
    <w:p w:rsidR="00A93F4A" w:rsidRPr="00CA1125" w:rsidRDefault="00A93F4A" w:rsidP="00A93F4A">
      <w:pPr>
        <w:pStyle w:val="DefaultText"/>
        <w:jc w:val="both"/>
        <w:rPr>
          <w:rStyle w:val="InitialStyle"/>
          <w:rFonts w:ascii="Times New Roman" w:hAnsi="Times New Roman"/>
          <w:color w:val="auto"/>
          <w:sz w:val="22"/>
          <w:szCs w:val="22"/>
        </w:rPr>
      </w:pPr>
      <w:r w:rsidRPr="00CA1125">
        <w:rPr>
          <w:rStyle w:val="InitialStyle"/>
          <w:rFonts w:ascii="Times New Roman" w:hAnsi="Times New Roman"/>
          <w:color w:val="auto"/>
          <w:sz w:val="22"/>
          <w:szCs w:val="22"/>
        </w:rPr>
        <w:t>KEN CARLSON</w:t>
      </w:r>
    </w:p>
    <w:p w:rsidR="0023321F" w:rsidRPr="00CA1125"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CA1125">
        <w:rPr>
          <w:sz w:val="22"/>
          <w:szCs w:val="22"/>
        </w:rPr>
        <w:tab/>
      </w:r>
      <w:r w:rsidRPr="00CA1125">
        <w:rPr>
          <w:sz w:val="22"/>
          <w:szCs w:val="22"/>
        </w:rPr>
        <w:tab/>
      </w:r>
      <w:r w:rsidRPr="00CA1125">
        <w:rPr>
          <w:sz w:val="22"/>
          <w:szCs w:val="22"/>
        </w:rPr>
        <w:tab/>
      </w:r>
      <w:r w:rsidRPr="00CA1125">
        <w:rPr>
          <w:sz w:val="22"/>
          <w:szCs w:val="22"/>
        </w:rPr>
        <w:tab/>
      </w:r>
      <w:r w:rsidRPr="00CA1125">
        <w:rPr>
          <w:sz w:val="22"/>
          <w:szCs w:val="22"/>
        </w:rPr>
        <w:tab/>
      </w:r>
      <w:r w:rsidRPr="00CA1125">
        <w:rPr>
          <w:sz w:val="22"/>
          <w:szCs w:val="22"/>
        </w:rPr>
        <w:tab/>
      </w:r>
      <w:r w:rsidRPr="00CA1125">
        <w:rPr>
          <w:sz w:val="22"/>
          <w:szCs w:val="22"/>
        </w:rPr>
        <w:tab/>
      </w:r>
      <w:r w:rsidR="00BE43CD" w:rsidRPr="00CA1125">
        <w:rPr>
          <w:sz w:val="22"/>
          <w:szCs w:val="22"/>
        </w:rPr>
        <w:tab/>
      </w:r>
    </w:p>
    <w:p w:rsidR="0023321F" w:rsidRPr="00CA1125" w:rsidRDefault="0023321F" w:rsidP="00A63C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CA1125">
        <w:rPr>
          <w:sz w:val="22"/>
          <w:szCs w:val="22"/>
        </w:rPr>
        <w:tab/>
      </w:r>
      <w:r w:rsidRPr="00CA1125">
        <w:rPr>
          <w:sz w:val="22"/>
          <w:szCs w:val="22"/>
        </w:rPr>
        <w:tab/>
      </w:r>
      <w:r w:rsidRPr="00CA1125">
        <w:rPr>
          <w:sz w:val="22"/>
          <w:szCs w:val="22"/>
        </w:rPr>
        <w:tab/>
      </w:r>
    </w:p>
    <w:p w:rsidR="00A812ED" w:rsidRPr="00CA1125" w:rsidRDefault="00A812ED" w:rsidP="0023321F">
      <w:pPr>
        <w:rPr>
          <w:b/>
          <w:sz w:val="22"/>
          <w:szCs w:val="22"/>
        </w:rPr>
      </w:pPr>
    </w:p>
    <w:p w:rsidR="00BE43CD" w:rsidRPr="00CA1125" w:rsidRDefault="0023321F" w:rsidP="0023321F">
      <w:pPr>
        <w:rPr>
          <w:sz w:val="22"/>
          <w:szCs w:val="22"/>
        </w:rPr>
      </w:pPr>
      <w:r w:rsidRPr="00CA1125">
        <w:rPr>
          <w:b/>
          <w:sz w:val="22"/>
          <w:szCs w:val="22"/>
        </w:rPr>
        <w:t>Fiscal Note:</w:t>
      </w:r>
      <w:r w:rsidRPr="00CA1125">
        <w:rPr>
          <w:sz w:val="22"/>
          <w:szCs w:val="22"/>
        </w:rPr>
        <w:t xml:space="preserve">  </w:t>
      </w:r>
      <w:r w:rsidR="00CA1125">
        <w:rPr>
          <w:sz w:val="22"/>
          <w:szCs w:val="22"/>
        </w:rPr>
        <w:t>R</w:t>
      </w:r>
      <w:r w:rsidR="00297582">
        <w:rPr>
          <w:sz w:val="22"/>
          <w:szCs w:val="22"/>
        </w:rPr>
        <w:t>eceipt of the expenditure of $29,894</w:t>
      </w:r>
      <w:r w:rsidR="00CA1125">
        <w:rPr>
          <w:sz w:val="22"/>
          <w:szCs w:val="22"/>
        </w:rPr>
        <w:t xml:space="preserve"> will be split between the County’s 2019 and 2020 fiscal years.  These can be absorbed into the existing budgets.</w:t>
      </w:r>
    </w:p>
    <w:p w:rsidR="0023321F" w:rsidRPr="00CA1125" w:rsidRDefault="001F7890" w:rsidP="0023321F">
      <w:pPr>
        <w:rPr>
          <w:sz w:val="22"/>
          <w:szCs w:val="22"/>
        </w:rPr>
      </w:pPr>
      <w:r w:rsidRPr="00CA1125">
        <w:rPr>
          <w:b/>
          <w:sz w:val="22"/>
          <w:szCs w:val="22"/>
        </w:rPr>
        <w:t>Information System Note:</w:t>
      </w:r>
      <w:r w:rsidRPr="00CA1125">
        <w:rPr>
          <w:sz w:val="22"/>
          <w:szCs w:val="22"/>
        </w:rPr>
        <w:t xml:space="preserve">  </w:t>
      </w:r>
      <w:r w:rsidR="0023321F" w:rsidRPr="00CA1125">
        <w:rPr>
          <w:sz w:val="22"/>
          <w:szCs w:val="22"/>
        </w:rPr>
        <w:t xml:space="preserve">No </w:t>
      </w:r>
      <w:r w:rsidR="007F44F8" w:rsidRPr="00CA1125">
        <w:rPr>
          <w:sz w:val="22"/>
          <w:szCs w:val="22"/>
        </w:rPr>
        <w:t>information systems impact.</w:t>
      </w:r>
      <w:r w:rsidR="0023321F" w:rsidRPr="00CA1125">
        <w:rPr>
          <w:sz w:val="22"/>
          <w:szCs w:val="22"/>
        </w:rPr>
        <w:t xml:space="preserve"> </w:t>
      </w:r>
    </w:p>
    <w:sectPr w:rsidR="0023321F" w:rsidRPr="00CA1125"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B1E" w:rsidRDefault="007E5B1E">
      <w:r>
        <w:separator/>
      </w:r>
    </w:p>
  </w:endnote>
  <w:endnote w:type="continuationSeparator" w:id="0">
    <w:p w:rsidR="007E5B1E" w:rsidRDefault="007E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B1E" w:rsidRDefault="007E5B1E">
      <w:r>
        <w:separator/>
      </w:r>
    </w:p>
  </w:footnote>
  <w:footnote w:type="continuationSeparator" w:id="0">
    <w:p w:rsidR="007E5B1E" w:rsidRDefault="007E5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97A38C"/>
    <w:multiLevelType w:val="hybridMultilevel"/>
    <w:tmpl w:val="136DD4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46C656"/>
    <w:multiLevelType w:val="hybridMultilevel"/>
    <w:tmpl w:val="7686D5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2BC8A0"/>
    <w:multiLevelType w:val="hybridMultilevel"/>
    <w:tmpl w:val="A6DB1B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B092EC0"/>
    <w:multiLevelType w:val="hybridMultilevel"/>
    <w:tmpl w:val="E554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74124"/>
    <w:multiLevelType w:val="hybridMultilevel"/>
    <w:tmpl w:val="CB02B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9DA"/>
    <w:rsid w:val="00023D02"/>
    <w:rsid w:val="000241B0"/>
    <w:rsid w:val="00027503"/>
    <w:rsid w:val="00030BF5"/>
    <w:rsid w:val="00031E85"/>
    <w:rsid w:val="0003237D"/>
    <w:rsid w:val="000413E1"/>
    <w:rsid w:val="000456A2"/>
    <w:rsid w:val="00052087"/>
    <w:rsid w:val="00064F56"/>
    <w:rsid w:val="0007073E"/>
    <w:rsid w:val="00084DF0"/>
    <w:rsid w:val="000A523D"/>
    <w:rsid w:val="000B352B"/>
    <w:rsid w:val="000B59DF"/>
    <w:rsid w:val="000B79FF"/>
    <w:rsid w:val="000C0E45"/>
    <w:rsid w:val="000C37E2"/>
    <w:rsid w:val="000C6D18"/>
    <w:rsid w:val="000D6495"/>
    <w:rsid w:val="000F1169"/>
    <w:rsid w:val="000F647B"/>
    <w:rsid w:val="001001B3"/>
    <w:rsid w:val="001034FE"/>
    <w:rsid w:val="00110216"/>
    <w:rsid w:val="001228B6"/>
    <w:rsid w:val="001319F5"/>
    <w:rsid w:val="00136D1E"/>
    <w:rsid w:val="001565D5"/>
    <w:rsid w:val="00156A3C"/>
    <w:rsid w:val="0016192F"/>
    <w:rsid w:val="0016384A"/>
    <w:rsid w:val="00166E27"/>
    <w:rsid w:val="0017292D"/>
    <w:rsid w:val="00177770"/>
    <w:rsid w:val="00187B05"/>
    <w:rsid w:val="00194DF5"/>
    <w:rsid w:val="001D1E90"/>
    <w:rsid w:val="001E1D83"/>
    <w:rsid w:val="001E4083"/>
    <w:rsid w:val="001F7890"/>
    <w:rsid w:val="00202D37"/>
    <w:rsid w:val="00203C55"/>
    <w:rsid w:val="002116CF"/>
    <w:rsid w:val="00211A47"/>
    <w:rsid w:val="002147B2"/>
    <w:rsid w:val="002219EF"/>
    <w:rsid w:val="0022514A"/>
    <w:rsid w:val="0023321F"/>
    <w:rsid w:val="00240EBF"/>
    <w:rsid w:val="00241D5C"/>
    <w:rsid w:val="00257F26"/>
    <w:rsid w:val="00273D83"/>
    <w:rsid w:val="00287A8B"/>
    <w:rsid w:val="002933D1"/>
    <w:rsid w:val="0029691A"/>
    <w:rsid w:val="00297582"/>
    <w:rsid w:val="002A1AD2"/>
    <w:rsid w:val="002A1ADD"/>
    <w:rsid w:val="002C060F"/>
    <w:rsid w:val="00301CB0"/>
    <w:rsid w:val="00311D1A"/>
    <w:rsid w:val="00316D56"/>
    <w:rsid w:val="003516A6"/>
    <w:rsid w:val="00355EFD"/>
    <w:rsid w:val="00367538"/>
    <w:rsid w:val="00370925"/>
    <w:rsid w:val="00373B31"/>
    <w:rsid w:val="00387FF5"/>
    <w:rsid w:val="00394CFF"/>
    <w:rsid w:val="003955DA"/>
    <w:rsid w:val="003B0339"/>
    <w:rsid w:val="003D4E12"/>
    <w:rsid w:val="003D77F5"/>
    <w:rsid w:val="00400D5E"/>
    <w:rsid w:val="0040214E"/>
    <w:rsid w:val="004043D1"/>
    <w:rsid w:val="0041595A"/>
    <w:rsid w:val="00423630"/>
    <w:rsid w:val="004265F8"/>
    <w:rsid w:val="00431245"/>
    <w:rsid w:val="00432339"/>
    <w:rsid w:val="004344A8"/>
    <w:rsid w:val="004447C0"/>
    <w:rsid w:val="00446B11"/>
    <w:rsid w:val="00447545"/>
    <w:rsid w:val="00475279"/>
    <w:rsid w:val="00493356"/>
    <w:rsid w:val="004B48CA"/>
    <w:rsid w:val="004D0C59"/>
    <w:rsid w:val="004E1653"/>
    <w:rsid w:val="004E64DD"/>
    <w:rsid w:val="004F725D"/>
    <w:rsid w:val="005006B3"/>
    <w:rsid w:val="0050385F"/>
    <w:rsid w:val="00521687"/>
    <w:rsid w:val="00523250"/>
    <w:rsid w:val="00543967"/>
    <w:rsid w:val="00550E1A"/>
    <w:rsid w:val="00552513"/>
    <w:rsid w:val="005635BA"/>
    <w:rsid w:val="00563BAA"/>
    <w:rsid w:val="005842F0"/>
    <w:rsid w:val="00592439"/>
    <w:rsid w:val="005936FF"/>
    <w:rsid w:val="00595B68"/>
    <w:rsid w:val="005F4649"/>
    <w:rsid w:val="006032A6"/>
    <w:rsid w:val="00620B14"/>
    <w:rsid w:val="0062165C"/>
    <w:rsid w:val="0062220E"/>
    <w:rsid w:val="0063425A"/>
    <w:rsid w:val="00642DA3"/>
    <w:rsid w:val="00644A98"/>
    <w:rsid w:val="00655F9A"/>
    <w:rsid w:val="00656EF2"/>
    <w:rsid w:val="0065755B"/>
    <w:rsid w:val="0067139A"/>
    <w:rsid w:val="00687D1C"/>
    <w:rsid w:val="006A43F7"/>
    <w:rsid w:val="006B2270"/>
    <w:rsid w:val="006C5862"/>
    <w:rsid w:val="006D309C"/>
    <w:rsid w:val="006D3CAA"/>
    <w:rsid w:val="0070196C"/>
    <w:rsid w:val="0070231C"/>
    <w:rsid w:val="00712121"/>
    <w:rsid w:val="00716A53"/>
    <w:rsid w:val="00721B17"/>
    <w:rsid w:val="00723D8D"/>
    <w:rsid w:val="00724305"/>
    <w:rsid w:val="00727334"/>
    <w:rsid w:val="007460DF"/>
    <w:rsid w:val="00747818"/>
    <w:rsid w:val="00762ADA"/>
    <w:rsid w:val="0076365E"/>
    <w:rsid w:val="00790AD3"/>
    <w:rsid w:val="007910D2"/>
    <w:rsid w:val="00796FBB"/>
    <w:rsid w:val="0079739E"/>
    <w:rsid w:val="007B15DC"/>
    <w:rsid w:val="007C39A5"/>
    <w:rsid w:val="007C47AD"/>
    <w:rsid w:val="007C4FFA"/>
    <w:rsid w:val="007C5181"/>
    <w:rsid w:val="007C5B19"/>
    <w:rsid w:val="007D005D"/>
    <w:rsid w:val="007E5B1E"/>
    <w:rsid w:val="007F44F8"/>
    <w:rsid w:val="008269D5"/>
    <w:rsid w:val="00857A7A"/>
    <w:rsid w:val="00862F04"/>
    <w:rsid w:val="00867969"/>
    <w:rsid w:val="00867B2B"/>
    <w:rsid w:val="00870378"/>
    <w:rsid w:val="00876B91"/>
    <w:rsid w:val="008C7889"/>
    <w:rsid w:val="008D00C1"/>
    <w:rsid w:val="008E3A7D"/>
    <w:rsid w:val="008F402D"/>
    <w:rsid w:val="008F77A8"/>
    <w:rsid w:val="00907C08"/>
    <w:rsid w:val="00924240"/>
    <w:rsid w:val="00971BAF"/>
    <w:rsid w:val="0097516B"/>
    <w:rsid w:val="00976515"/>
    <w:rsid w:val="00992C58"/>
    <w:rsid w:val="009A0736"/>
    <w:rsid w:val="009D5159"/>
    <w:rsid w:val="009D78E4"/>
    <w:rsid w:val="00A00F12"/>
    <w:rsid w:val="00A074A1"/>
    <w:rsid w:val="00A144E5"/>
    <w:rsid w:val="00A20060"/>
    <w:rsid w:val="00A36D4F"/>
    <w:rsid w:val="00A41C29"/>
    <w:rsid w:val="00A44430"/>
    <w:rsid w:val="00A446AE"/>
    <w:rsid w:val="00A52BF3"/>
    <w:rsid w:val="00A52DEB"/>
    <w:rsid w:val="00A551DE"/>
    <w:rsid w:val="00A608F3"/>
    <w:rsid w:val="00A63CF8"/>
    <w:rsid w:val="00A671BB"/>
    <w:rsid w:val="00A72D22"/>
    <w:rsid w:val="00A749A3"/>
    <w:rsid w:val="00A812ED"/>
    <w:rsid w:val="00A9066D"/>
    <w:rsid w:val="00A93F4A"/>
    <w:rsid w:val="00A951D6"/>
    <w:rsid w:val="00A959D9"/>
    <w:rsid w:val="00A95BC4"/>
    <w:rsid w:val="00A966DA"/>
    <w:rsid w:val="00AB219D"/>
    <w:rsid w:val="00AC0044"/>
    <w:rsid w:val="00AC331C"/>
    <w:rsid w:val="00AF377E"/>
    <w:rsid w:val="00AF5ACA"/>
    <w:rsid w:val="00B22381"/>
    <w:rsid w:val="00B2634E"/>
    <w:rsid w:val="00B61373"/>
    <w:rsid w:val="00B62C05"/>
    <w:rsid w:val="00B715B0"/>
    <w:rsid w:val="00B73B46"/>
    <w:rsid w:val="00B7537F"/>
    <w:rsid w:val="00B8727E"/>
    <w:rsid w:val="00BD352B"/>
    <w:rsid w:val="00BE2690"/>
    <w:rsid w:val="00BE43CD"/>
    <w:rsid w:val="00C024D3"/>
    <w:rsid w:val="00C0509E"/>
    <w:rsid w:val="00C26190"/>
    <w:rsid w:val="00C30082"/>
    <w:rsid w:val="00C3362D"/>
    <w:rsid w:val="00C41211"/>
    <w:rsid w:val="00C415C6"/>
    <w:rsid w:val="00C4616B"/>
    <w:rsid w:val="00C60573"/>
    <w:rsid w:val="00C6476A"/>
    <w:rsid w:val="00C7687E"/>
    <w:rsid w:val="00C860C2"/>
    <w:rsid w:val="00CA1125"/>
    <w:rsid w:val="00CC206B"/>
    <w:rsid w:val="00CD5436"/>
    <w:rsid w:val="00CF02DC"/>
    <w:rsid w:val="00D300F2"/>
    <w:rsid w:val="00D40573"/>
    <w:rsid w:val="00D6732B"/>
    <w:rsid w:val="00DB7AFF"/>
    <w:rsid w:val="00DD1952"/>
    <w:rsid w:val="00DD635D"/>
    <w:rsid w:val="00DE144E"/>
    <w:rsid w:val="00E05362"/>
    <w:rsid w:val="00E0562C"/>
    <w:rsid w:val="00E27A69"/>
    <w:rsid w:val="00E353A7"/>
    <w:rsid w:val="00E537A1"/>
    <w:rsid w:val="00E55C6D"/>
    <w:rsid w:val="00E76BCD"/>
    <w:rsid w:val="00E829F4"/>
    <w:rsid w:val="00EA31D8"/>
    <w:rsid w:val="00ED2684"/>
    <w:rsid w:val="00EE33CC"/>
    <w:rsid w:val="00F1491A"/>
    <w:rsid w:val="00F14F86"/>
    <w:rsid w:val="00F37570"/>
    <w:rsid w:val="00F3792D"/>
    <w:rsid w:val="00F44B62"/>
    <w:rsid w:val="00F50580"/>
    <w:rsid w:val="00F576CE"/>
    <w:rsid w:val="00F77933"/>
    <w:rsid w:val="00F905DE"/>
    <w:rsid w:val="00FB27AF"/>
    <w:rsid w:val="00FC6DEC"/>
    <w:rsid w:val="00FD66C9"/>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712DED0"/>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 w:type="paragraph" w:styleId="ListParagraph">
    <w:name w:val="List Paragraph"/>
    <w:basedOn w:val="Normal"/>
    <w:uiPriority w:val="34"/>
    <w:qFormat/>
    <w:rsid w:val="00F905DE"/>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0413E1"/>
    <w:pPr>
      <w:tabs>
        <w:tab w:val="center" w:pos="4680"/>
        <w:tab w:val="right" w:pos="9360"/>
      </w:tabs>
    </w:pPr>
  </w:style>
  <w:style w:type="character" w:customStyle="1" w:styleId="HeaderChar">
    <w:name w:val="Header Char"/>
    <w:basedOn w:val="DefaultParagraphFont"/>
    <w:link w:val="Header"/>
    <w:uiPriority w:val="99"/>
    <w:rsid w:val="000413E1"/>
  </w:style>
  <w:style w:type="paragraph" w:styleId="Footer">
    <w:name w:val="footer"/>
    <w:basedOn w:val="Normal"/>
    <w:link w:val="FooterChar"/>
    <w:uiPriority w:val="99"/>
    <w:unhideWhenUsed/>
    <w:rsid w:val="000413E1"/>
    <w:pPr>
      <w:tabs>
        <w:tab w:val="center" w:pos="4680"/>
        <w:tab w:val="right" w:pos="9360"/>
      </w:tabs>
    </w:pPr>
  </w:style>
  <w:style w:type="character" w:customStyle="1" w:styleId="FooterChar">
    <w:name w:val="Footer Char"/>
    <w:basedOn w:val="DefaultParagraphFont"/>
    <w:link w:val="Footer"/>
    <w:uiPriority w:val="99"/>
    <w:rsid w:val="000413E1"/>
  </w:style>
  <w:style w:type="paragraph" w:customStyle="1" w:styleId="Default">
    <w:name w:val="Default"/>
    <w:rsid w:val="000C0E4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52331">
      <w:bodyDiv w:val="1"/>
      <w:marLeft w:val="0"/>
      <w:marRight w:val="0"/>
      <w:marTop w:val="0"/>
      <w:marBottom w:val="0"/>
      <w:divBdr>
        <w:top w:val="none" w:sz="0" w:space="0" w:color="auto"/>
        <w:left w:val="none" w:sz="0" w:space="0" w:color="auto"/>
        <w:bottom w:val="none" w:sz="0" w:space="0" w:color="auto"/>
        <w:right w:val="none" w:sz="0" w:space="0" w:color="auto"/>
      </w:divBdr>
    </w:div>
    <w:div w:id="67622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133</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Amy Elizabeth Lee Merwin</cp:lastModifiedBy>
  <cp:revision>3</cp:revision>
  <cp:lastPrinted>2019-12-26T16:24:00Z</cp:lastPrinted>
  <dcterms:created xsi:type="dcterms:W3CDTF">2020-05-06T19:50:00Z</dcterms:created>
  <dcterms:modified xsi:type="dcterms:W3CDTF">2020-05-06T20:09:00Z</dcterms:modified>
</cp:coreProperties>
</file>