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9E6" w:rsidRPr="002D151E"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Cs w:val="24"/>
        </w:rPr>
      </w:pPr>
      <w:r w:rsidRPr="002D151E">
        <w:rPr>
          <w:b/>
          <w:szCs w:val="24"/>
        </w:rPr>
        <w:t xml:space="preserve">RESOLUTION NO. </w:t>
      </w:r>
      <w:r w:rsidRPr="002D151E">
        <w:rPr>
          <w:b/>
          <w:szCs w:val="24"/>
          <w:u w:val="single"/>
        </w:rPr>
        <w:t xml:space="preserve">         </w:t>
      </w:r>
      <w:r w:rsidRPr="002D151E">
        <w:rPr>
          <w:b/>
          <w:szCs w:val="24"/>
        </w:rPr>
        <w:t>-1</w:t>
      </w:r>
      <w:r w:rsidR="0047137E">
        <w:rPr>
          <w:b/>
          <w:szCs w:val="24"/>
        </w:rPr>
        <w:t>7</w:t>
      </w:r>
    </w:p>
    <w:p w:rsidR="000379E6" w:rsidRPr="002D151E"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Cs w:val="24"/>
        </w:rPr>
      </w:pPr>
    </w:p>
    <w:p w:rsidR="008B2C56" w:rsidRPr="002D151E" w:rsidRDefault="00A36E14" w:rsidP="008B2C56">
      <w:pPr>
        <w:jc w:val="center"/>
        <w:rPr>
          <w:b/>
          <w:sz w:val="24"/>
          <w:szCs w:val="24"/>
        </w:rPr>
      </w:pPr>
      <w:r w:rsidRPr="002D151E">
        <w:rPr>
          <w:b/>
          <w:sz w:val="24"/>
          <w:szCs w:val="24"/>
        </w:rPr>
        <w:t xml:space="preserve">RESOLUTION </w:t>
      </w:r>
      <w:r w:rsidR="008B2C56" w:rsidRPr="002D151E">
        <w:rPr>
          <w:b/>
          <w:sz w:val="24"/>
          <w:szCs w:val="24"/>
        </w:rPr>
        <w:t xml:space="preserve">FOR DISSOLUTION OF LONG TERM CARE DISTRICT PURSUANT TO WIS. STAT. § 46.2895(13) </w:t>
      </w:r>
    </w:p>
    <w:p w:rsidR="008B2C56" w:rsidRPr="002D151E" w:rsidRDefault="008B2C56" w:rsidP="008B2C56">
      <w:pPr>
        <w:jc w:val="center"/>
        <w:rPr>
          <w:b/>
          <w:sz w:val="24"/>
          <w:szCs w:val="24"/>
        </w:rPr>
      </w:pPr>
    </w:p>
    <w:p w:rsidR="008B2C56" w:rsidRDefault="008B2C56" w:rsidP="002D151E">
      <w:pPr>
        <w:ind w:firstLine="720"/>
        <w:rPr>
          <w:sz w:val="24"/>
          <w:szCs w:val="24"/>
        </w:rPr>
      </w:pPr>
      <w:r w:rsidRPr="002D151E">
        <w:rPr>
          <w:b/>
          <w:sz w:val="24"/>
          <w:szCs w:val="24"/>
        </w:rPr>
        <w:t>WHEREAS</w:t>
      </w:r>
      <w:r w:rsidRPr="002D151E">
        <w:rPr>
          <w:sz w:val="24"/>
          <w:szCs w:val="24"/>
        </w:rPr>
        <w:t xml:space="preserve">, ContinuUs (formerly named Southwest Family Care Alliance) is a long-term care district formed by Crawford, Grant, Green, Iowa, Juneau, Lafayette, Richland and Sauk </w:t>
      </w:r>
      <w:r w:rsidR="002D151E">
        <w:rPr>
          <w:sz w:val="24"/>
          <w:szCs w:val="24"/>
        </w:rPr>
        <w:t>C</w:t>
      </w:r>
      <w:r w:rsidRPr="002D151E">
        <w:rPr>
          <w:sz w:val="24"/>
          <w:szCs w:val="24"/>
        </w:rPr>
        <w:t>ounties by resolution pursuant to Wis. Stat. § 46.2895 for purposes of delivering services as a managed care organization (MCO) under the State of Wisconsin’s Family Care program; and</w:t>
      </w:r>
      <w:r w:rsidR="005C33C8" w:rsidRPr="002D151E">
        <w:rPr>
          <w:sz w:val="24"/>
          <w:szCs w:val="24"/>
        </w:rPr>
        <w:t>,</w:t>
      </w:r>
    </w:p>
    <w:p w:rsidR="00975AB8" w:rsidRDefault="00975AB8" w:rsidP="002D151E">
      <w:pPr>
        <w:ind w:firstLine="720"/>
        <w:rPr>
          <w:sz w:val="24"/>
          <w:szCs w:val="24"/>
        </w:rPr>
      </w:pPr>
    </w:p>
    <w:p w:rsidR="00975AB8" w:rsidRPr="00975AB8" w:rsidRDefault="00975AB8" w:rsidP="002D151E">
      <w:pPr>
        <w:ind w:firstLine="720"/>
        <w:rPr>
          <w:b/>
          <w:sz w:val="24"/>
          <w:szCs w:val="24"/>
        </w:rPr>
      </w:pPr>
      <w:r>
        <w:rPr>
          <w:b/>
          <w:sz w:val="24"/>
          <w:szCs w:val="24"/>
        </w:rPr>
        <w:t>WHEREAS,</w:t>
      </w:r>
      <w:r>
        <w:rPr>
          <w:sz w:val="24"/>
          <w:szCs w:val="24"/>
        </w:rPr>
        <w:t xml:space="preserve"> Sauk County formed and joined </w:t>
      </w:r>
      <w:r w:rsidR="00F71CB0">
        <w:rPr>
          <w:sz w:val="24"/>
          <w:szCs w:val="24"/>
        </w:rPr>
        <w:t>a</w:t>
      </w:r>
      <w:r>
        <w:rPr>
          <w:sz w:val="24"/>
          <w:szCs w:val="24"/>
        </w:rPr>
        <w:t xml:space="preserve"> long-term care district by Resolution </w:t>
      </w:r>
      <w:r w:rsidR="00F71CB0">
        <w:rPr>
          <w:sz w:val="24"/>
          <w:szCs w:val="24"/>
        </w:rPr>
        <w:t>64-08</w:t>
      </w:r>
      <w:r>
        <w:rPr>
          <w:sz w:val="24"/>
          <w:szCs w:val="24"/>
        </w:rPr>
        <w:t xml:space="preserve"> dated </w:t>
      </w:r>
      <w:r w:rsidR="00F71CB0">
        <w:rPr>
          <w:sz w:val="24"/>
          <w:szCs w:val="24"/>
        </w:rPr>
        <w:t>June 17, 2008</w:t>
      </w:r>
      <w:r>
        <w:rPr>
          <w:sz w:val="24"/>
          <w:szCs w:val="24"/>
        </w:rPr>
        <w:t xml:space="preserve">; and, </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in 2016, the Wisconsin State Legislature enacted 2015 Wisconsin Act 215 authorizing long-term care districts to convert to private, nonprofit corporations; and</w:t>
      </w:r>
      <w:r w:rsidR="005C33C8" w:rsidRPr="002D151E">
        <w:rPr>
          <w:sz w:val="24"/>
          <w:szCs w:val="24"/>
        </w:rPr>
        <w:t>,</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008A3CF1">
        <w:rPr>
          <w:sz w:val="24"/>
          <w:szCs w:val="24"/>
        </w:rPr>
        <w:t>, in April 2016, ContinuUs’</w:t>
      </w:r>
      <w:r w:rsidRPr="002D151E">
        <w:rPr>
          <w:sz w:val="24"/>
          <w:szCs w:val="24"/>
        </w:rPr>
        <w:t xml:space="preserve"> Board of Directors passed a resolution to jointly create a non-profit corporation and merge operations with two other long-term care districts, Community Care Connections of Wisconsin (“CCCW”) and Western Wiscon</w:t>
      </w:r>
      <w:r w:rsidR="005C33C8" w:rsidRPr="002D151E">
        <w:rPr>
          <w:sz w:val="24"/>
          <w:szCs w:val="24"/>
        </w:rPr>
        <w:t>sin Cares (“WWC”); and,</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the non-profit corporation was created in August 2016 to succeed ContinuUs, CCCW and WWC following approval from the Department of Health Services (DHS); and</w:t>
      </w:r>
      <w:r w:rsidR="005C33C8" w:rsidRPr="002D151E">
        <w:rPr>
          <w:sz w:val="24"/>
          <w:szCs w:val="24"/>
        </w:rPr>
        <w:t>,</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in November 2016, DHS approved the transfer of the assets and liabilities of the three long-term care districts to the non-profit corporation and certified the corporation as an MCO effective January 1, 2017; and</w:t>
      </w:r>
      <w:r w:rsidR="005C33C8" w:rsidRPr="002D151E">
        <w:rPr>
          <w:sz w:val="24"/>
          <w:szCs w:val="24"/>
        </w:rPr>
        <w:t>,</w:t>
      </w:r>
      <w:r w:rsidRPr="002D151E">
        <w:rPr>
          <w:sz w:val="24"/>
          <w:szCs w:val="24"/>
        </w:rPr>
        <w:t xml:space="preserve"> </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as of January 1, 2017, ContinuUs has no continuing business operations and undertakes no activities related to the purpose for which it was formed, which was to contract with DHS for the provision of Family Care services; and</w:t>
      </w:r>
      <w:r w:rsidR="005C33C8" w:rsidRPr="002D151E">
        <w:rPr>
          <w:sz w:val="24"/>
          <w:szCs w:val="24"/>
        </w:rPr>
        <w:t>,</w:t>
      </w:r>
      <w:r w:rsidRPr="002D151E">
        <w:rPr>
          <w:sz w:val="24"/>
          <w:szCs w:val="24"/>
        </w:rPr>
        <w:t xml:space="preserve"> </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the final step of winding down ContinuUs’ operation is the dissolution of the district, which requires joint action by ContinuUs’ Board and the county boar</w:t>
      </w:r>
      <w:bookmarkStart w:id="0" w:name="_GoBack"/>
      <w:bookmarkEnd w:id="0"/>
      <w:r w:rsidRPr="002D151E">
        <w:rPr>
          <w:sz w:val="24"/>
          <w:szCs w:val="24"/>
        </w:rPr>
        <w:t>ds that formed the district pursuant to Wis. Stat. § 46.2895(13); and</w:t>
      </w:r>
      <w:r w:rsidR="005C33C8" w:rsidRPr="002D151E">
        <w:rPr>
          <w:sz w:val="24"/>
          <w:szCs w:val="24"/>
        </w:rPr>
        <w:t>,</w:t>
      </w:r>
      <w:r w:rsidRPr="002D151E">
        <w:rPr>
          <w:sz w:val="24"/>
          <w:szCs w:val="24"/>
        </w:rPr>
        <w:t xml:space="preserve"> </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xml:space="preserve">, this Resolution is intended to act as </w:t>
      </w:r>
      <w:r w:rsidR="005C33C8" w:rsidRPr="002D151E">
        <w:rPr>
          <w:sz w:val="24"/>
          <w:szCs w:val="24"/>
        </w:rPr>
        <w:t>Sauk</w:t>
      </w:r>
      <w:r w:rsidRPr="002D151E">
        <w:rPr>
          <w:sz w:val="24"/>
          <w:szCs w:val="24"/>
        </w:rPr>
        <w:t xml:space="preserve"> County’s official action authorizing the dissolution of ContinuUs; and</w:t>
      </w:r>
      <w:r w:rsidR="005C33C8" w:rsidRPr="002D151E">
        <w:rPr>
          <w:sz w:val="24"/>
          <w:szCs w:val="24"/>
        </w:rPr>
        <w:t>,</w:t>
      </w:r>
      <w:r w:rsidRPr="002D151E">
        <w:rPr>
          <w:sz w:val="24"/>
          <w:szCs w:val="24"/>
        </w:rPr>
        <w:t xml:space="preserve"> </w:t>
      </w:r>
    </w:p>
    <w:p w:rsidR="008B2C56" w:rsidRPr="002D151E" w:rsidRDefault="008B2C56" w:rsidP="002D151E">
      <w:pPr>
        <w:ind w:firstLine="720"/>
        <w:rPr>
          <w:sz w:val="24"/>
          <w:szCs w:val="24"/>
        </w:rPr>
      </w:pPr>
    </w:p>
    <w:p w:rsidR="008B2C56" w:rsidRPr="002D151E" w:rsidRDefault="008B2C56" w:rsidP="002D151E">
      <w:pPr>
        <w:ind w:firstLine="720"/>
        <w:rPr>
          <w:sz w:val="24"/>
          <w:szCs w:val="24"/>
        </w:rPr>
      </w:pPr>
      <w:r w:rsidRPr="002D151E">
        <w:rPr>
          <w:b/>
          <w:sz w:val="24"/>
          <w:szCs w:val="24"/>
        </w:rPr>
        <w:t>WHEREAS</w:t>
      </w:r>
      <w:r w:rsidRPr="002D151E">
        <w:rPr>
          <w:sz w:val="24"/>
          <w:szCs w:val="24"/>
        </w:rPr>
        <w:t xml:space="preserve">, the Secretary of DHS may rely on this Resolution as action on the part of </w:t>
      </w:r>
      <w:r w:rsidR="005C33C8" w:rsidRPr="002D151E">
        <w:rPr>
          <w:sz w:val="24"/>
          <w:szCs w:val="24"/>
        </w:rPr>
        <w:t>Sauk</w:t>
      </w:r>
      <w:r w:rsidRPr="002D151E">
        <w:rPr>
          <w:sz w:val="24"/>
          <w:szCs w:val="24"/>
        </w:rPr>
        <w:t xml:space="preserve"> County authorizing dissolution of ContinuUs.</w:t>
      </w:r>
    </w:p>
    <w:p w:rsidR="008B2C56" w:rsidRPr="002D151E" w:rsidRDefault="008B2C56" w:rsidP="002D151E">
      <w:pPr>
        <w:rPr>
          <w:sz w:val="24"/>
          <w:szCs w:val="24"/>
        </w:rPr>
      </w:pPr>
    </w:p>
    <w:p w:rsidR="008B2C56" w:rsidRPr="002D151E" w:rsidRDefault="008B2C56" w:rsidP="002D151E">
      <w:pPr>
        <w:ind w:firstLine="720"/>
        <w:rPr>
          <w:sz w:val="24"/>
          <w:szCs w:val="24"/>
        </w:rPr>
      </w:pPr>
      <w:r w:rsidRPr="002D151E">
        <w:rPr>
          <w:b/>
          <w:sz w:val="24"/>
          <w:szCs w:val="24"/>
        </w:rPr>
        <w:t>NOW, THEREFORE, BE IT RESOLVED</w:t>
      </w:r>
      <w:r w:rsidR="005C33C8" w:rsidRPr="002D151E">
        <w:rPr>
          <w:sz w:val="24"/>
          <w:szCs w:val="24"/>
        </w:rPr>
        <w:t xml:space="preserve">, that the Sauk County Board of Supervisors hereby authorizes dissolution of ContinuUs pursuant to </w:t>
      </w:r>
      <w:r w:rsidRPr="002D151E">
        <w:rPr>
          <w:sz w:val="24"/>
          <w:szCs w:val="24"/>
        </w:rPr>
        <w:t xml:space="preserve">Wis. Stat. § 46.2895(13). </w:t>
      </w:r>
    </w:p>
    <w:p w:rsidR="008B2C56" w:rsidRPr="00975AB8" w:rsidRDefault="008B2C56" w:rsidP="002D151E">
      <w:pPr>
        <w:ind w:left="1440" w:hanging="720"/>
        <w:rPr>
          <w:sz w:val="24"/>
          <w:szCs w:val="24"/>
        </w:rPr>
      </w:pPr>
    </w:p>
    <w:p w:rsidR="00975AB8" w:rsidRPr="00975AB8" w:rsidRDefault="00975AB8" w:rsidP="00975AB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rPr>
      </w:pPr>
      <w:r w:rsidRPr="00975AB8">
        <w:rPr>
          <w:szCs w:val="24"/>
        </w:rPr>
        <w:t xml:space="preserve">For consideration by the Sauk County Board of Supervisors on </w:t>
      </w:r>
      <w:r w:rsidR="0047137E">
        <w:rPr>
          <w:szCs w:val="24"/>
        </w:rPr>
        <w:t>January 17</w:t>
      </w:r>
      <w:r w:rsidRPr="00975AB8">
        <w:rPr>
          <w:szCs w:val="24"/>
        </w:rPr>
        <w:t>, 201</w:t>
      </w:r>
      <w:r w:rsidR="0047137E">
        <w:rPr>
          <w:szCs w:val="24"/>
        </w:rPr>
        <w:t>7</w:t>
      </w:r>
      <w:r w:rsidRPr="00975AB8">
        <w:rPr>
          <w:szCs w:val="24"/>
        </w:rPr>
        <w:t>.</w:t>
      </w:r>
    </w:p>
    <w:p w:rsidR="008B2C56" w:rsidRPr="002D151E" w:rsidRDefault="008B2C56" w:rsidP="004F7A6F">
      <w:pPr>
        <w:rPr>
          <w:sz w:val="24"/>
          <w:szCs w:val="24"/>
        </w:rPr>
      </w:pPr>
    </w:p>
    <w:p w:rsidR="000379E6" w:rsidRPr="002D151E"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rPr>
      </w:pPr>
      <w:r w:rsidRPr="002D151E">
        <w:rPr>
          <w:szCs w:val="24"/>
        </w:rPr>
        <w:t>Respectfully submitted,</w:t>
      </w:r>
    </w:p>
    <w:p w:rsidR="00D21739" w:rsidRDefault="00D21739">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2D151E" w:rsidRDefault="002D151E">
      <w:pPr>
        <w:overflowPunct/>
        <w:autoSpaceDE/>
        <w:autoSpaceDN/>
        <w:adjustRightInd/>
        <w:textAlignment w:val="auto"/>
        <w:rPr>
          <w:sz w:val="22"/>
          <w:szCs w:val="22"/>
        </w:rPr>
      </w:pPr>
    </w:p>
    <w:p w:rsidR="000379E6" w:rsidRPr="00EA31AA"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532215" w:rsidRDefault="00431765" w:rsidP="005322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6"/>
        </w:tabs>
        <w:jc w:val="both"/>
        <w:rPr>
          <w:rStyle w:val="InitialStyle"/>
        </w:rPr>
      </w:pPr>
      <w:r w:rsidRPr="00532215">
        <w:rPr>
          <w:b/>
          <w:smallCaps/>
          <w:szCs w:val="24"/>
        </w:rPr>
        <w:t xml:space="preserve">Sauk County </w:t>
      </w:r>
      <w:r>
        <w:rPr>
          <w:b/>
          <w:smallCaps/>
          <w:szCs w:val="24"/>
        </w:rPr>
        <w:t>Human Services Board</w:t>
      </w:r>
      <w:r>
        <w:rPr>
          <w:b/>
          <w:smallCaps/>
          <w:szCs w:val="24"/>
        </w:rPr>
        <w:tab/>
      </w:r>
      <w:r>
        <w:rPr>
          <w:b/>
          <w:smallCaps/>
          <w:szCs w:val="24"/>
        </w:rPr>
        <w:tab/>
      </w:r>
    </w:p>
    <w:p w:rsidR="006756FE" w:rsidRPr="00285C4C" w:rsidRDefault="006756FE" w:rsidP="006756FE">
      <w:pPr>
        <w:pStyle w:val="DefaultText"/>
        <w:rPr>
          <w:b/>
          <w:smallCaps/>
          <w:sz w:val="28"/>
        </w:rPr>
      </w:pP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p>
    <w:p w:rsidR="006756FE" w:rsidRPr="00285C4C" w:rsidRDefault="002E3388" w:rsidP="006756FE">
      <w:pPr>
        <w:pStyle w:val="DefaultText"/>
        <w:rPr>
          <w:smallCaps/>
          <w:sz w:val="20"/>
        </w:rPr>
      </w:pPr>
      <w:r>
        <w:rPr>
          <w:smallCaps/>
          <w:sz w:val="20"/>
        </w:rPr>
        <w:t>Joan Fordham</w:t>
      </w:r>
      <w:r w:rsidR="006756FE" w:rsidRPr="00285C4C">
        <w:rPr>
          <w:smallCaps/>
          <w:sz w:val="20"/>
        </w:rPr>
        <w:t>- Chair</w:t>
      </w:r>
      <w:r w:rsidR="00FB32FA">
        <w:rPr>
          <w:smallCaps/>
          <w:sz w:val="20"/>
        </w:rPr>
        <w:tab/>
      </w:r>
      <w:r w:rsidR="00D25392">
        <w:rPr>
          <w:smallCaps/>
          <w:sz w:val="20"/>
        </w:rPr>
        <w:tab/>
      </w:r>
      <w:r w:rsidR="00532215">
        <w:rPr>
          <w:smallCaps/>
          <w:sz w:val="20"/>
        </w:rPr>
        <w:tab/>
      </w:r>
      <w:r w:rsidR="00532215">
        <w:rPr>
          <w:smallCaps/>
          <w:sz w:val="20"/>
        </w:rPr>
        <w:tab/>
      </w:r>
      <w:r w:rsidR="00532215">
        <w:rPr>
          <w:smallCaps/>
          <w:sz w:val="20"/>
        </w:rPr>
        <w:tab/>
      </w: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p>
    <w:p w:rsidR="006756FE" w:rsidRPr="00285C4C" w:rsidRDefault="00D25392" w:rsidP="006756FE">
      <w:pPr>
        <w:pStyle w:val="DefaultText"/>
        <w:rPr>
          <w:smallCaps/>
          <w:sz w:val="20"/>
        </w:rPr>
      </w:pPr>
      <w:r>
        <w:rPr>
          <w:smallCaps/>
          <w:sz w:val="20"/>
        </w:rPr>
        <w:t>John A. Miller</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Pr>
          <w:smallCaps/>
          <w:sz w:val="20"/>
        </w:rPr>
        <w:tab/>
      </w:r>
    </w:p>
    <w:p w:rsidR="006756FE" w:rsidRPr="00285C4C" w:rsidRDefault="006756FE" w:rsidP="006756FE">
      <w:pPr>
        <w:pStyle w:val="DefaultText"/>
        <w:spacing w:before="120"/>
        <w:rPr>
          <w:smallCaps/>
          <w:sz w:val="22"/>
        </w:rPr>
      </w:pPr>
      <w:r w:rsidRPr="00285C4C">
        <w:rPr>
          <w:smallCaps/>
        </w:rPr>
        <w:t xml:space="preserve">_____________________________________ </w:t>
      </w:r>
      <w:r w:rsidR="00532215">
        <w:rPr>
          <w:smallCaps/>
        </w:rPr>
        <w:tab/>
      </w:r>
    </w:p>
    <w:p w:rsidR="006756FE" w:rsidRPr="00285C4C" w:rsidRDefault="00D25392" w:rsidP="006756FE">
      <w:pPr>
        <w:pStyle w:val="DefaultText"/>
        <w:rPr>
          <w:smallCaps/>
          <w:sz w:val="20"/>
        </w:rPr>
      </w:pPr>
      <w:r>
        <w:rPr>
          <w:smallCaps/>
          <w:sz w:val="20"/>
        </w:rPr>
        <w:t>Peter Vedro</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p>
    <w:p w:rsidR="006756FE" w:rsidRPr="00285C4C" w:rsidRDefault="006756FE" w:rsidP="006756FE">
      <w:pPr>
        <w:pStyle w:val="DefaultText"/>
        <w:spacing w:before="120"/>
        <w:rPr>
          <w:smallCaps/>
        </w:rPr>
      </w:pPr>
      <w:r w:rsidRPr="00285C4C">
        <w:rPr>
          <w:smallCaps/>
        </w:rPr>
        <w:t>_____________________________________</w:t>
      </w:r>
      <w:r w:rsidR="00532215">
        <w:rPr>
          <w:smallCaps/>
        </w:rPr>
        <w:tab/>
      </w:r>
    </w:p>
    <w:p w:rsidR="006756FE" w:rsidRPr="00285C4C" w:rsidRDefault="00D25392" w:rsidP="006756FE">
      <w:pPr>
        <w:pStyle w:val="DefaultText"/>
        <w:rPr>
          <w:smallCaps/>
          <w:sz w:val="20"/>
        </w:rPr>
      </w:pPr>
      <w:r>
        <w:rPr>
          <w:smallCaps/>
          <w:sz w:val="20"/>
        </w:rPr>
        <w:t>Jean Berlin</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p>
    <w:p w:rsidR="006756FE" w:rsidRPr="00285C4C" w:rsidRDefault="006756FE" w:rsidP="006756FE">
      <w:pPr>
        <w:pStyle w:val="DefaultText"/>
        <w:spacing w:before="120"/>
        <w:rPr>
          <w:smallCaps/>
          <w:sz w:val="22"/>
        </w:rPr>
      </w:pPr>
      <w:r w:rsidRPr="00285C4C">
        <w:rPr>
          <w:smallCaps/>
        </w:rPr>
        <w:t>_____________________________________</w:t>
      </w:r>
      <w:r w:rsidR="00532215">
        <w:rPr>
          <w:smallCaps/>
        </w:rPr>
        <w:tab/>
      </w:r>
    </w:p>
    <w:p w:rsidR="006756FE" w:rsidRDefault="00D25392" w:rsidP="006756FE">
      <w:pPr>
        <w:pStyle w:val="DefaultText"/>
        <w:rPr>
          <w:smallCaps/>
          <w:sz w:val="20"/>
        </w:rPr>
      </w:pPr>
      <w:r>
        <w:rPr>
          <w:smallCaps/>
          <w:sz w:val="20"/>
        </w:rPr>
        <w:t>John Deitrich</w:t>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r w:rsidR="00532215">
        <w:rPr>
          <w:smallCaps/>
          <w:sz w:val="20"/>
        </w:rPr>
        <w:tab/>
      </w:r>
    </w:p>
    <w:p w:rsidR="006756FE" w:rsidRPr="00285C4C" w:rsidRDefault="006756FE" w:rsidP="00D25392">
      <w:pPr>
        <w:pStyle w:val="DefaultText"/>
        <w:spacing w:before="120"/>
        <w:rPr>
          <w:smallCaps/>
          <w:sz w:val="22"/>
        </w:rPr>
      </w:pPr>
      <w:r w:rsidRPr="00285C4C">
        <w:rPr>
          <w:smallCaps/>
        </w:rPr>
        <w:t>_____________________________________</w:t>
      </w:r>
    </w:p>
    <w:p w:rsidR="006756FE" w:rsidRPr="00285C4C" w:rsidRDefault="00D25392" w:rsidP="006756FE">
      <w:pPr>
        <w:pStyle w:val="DefaultText"/>
        <w:rPr>
          <w:b/>
          <w:smallCaps/>
          <w:sz w:val="20"/>
        </w:rPr>
      </w:pPr>
      <w:r>
        <w:rPr>
          <w:smallCaps/>
          <w:sz w:val="20"/>
        </w:rPr>
        <w:t>Connie Lehman</w:t>
      </w:r>
    </w:p>
    <w:p w:rsidR="00D25392" w:rsidRPr="00285C4C" w:rsidRDefault="00D25392" w:rsidP="00D25392">
      <w:pPr>
        <w:pStyle w:val="DefaultText"/>
        <w:spacing w:before="120"/>
        <w:rPr>
          <w:smallCaps/>
          <w:sz w:val="22"/>
        </w:rPr>
      </w:pPr>
      <w:r w:rsidRPr="00285C4C">
        <w:rPr>
          <w:smallCaps/>
        </w:rPr>
        <w:t>_____________________________________</w:t>
      </w:r>
    </w:p>
    <w:p w:rsidR="00D25392" w:rsidRPr="00285C4C" w:rsidRDefault="00D25392" w:rsidP="00D25392">
      <w:pPr>
        <w:pStyle w:val="DefaultText"/>
        <w:rPr>
          <w:b/>
          <w:smallCaps/>
          <w:sz w:val="20"/>
        </w:rPr>
      </w:pPr>
      <w:r>
        <w:rPr>
          <w:smallCaps/>
          <w:sz w:val="20"/>
        </w:rPr>
        <w:t>Beverly Vertein</w:t>
      </w:r>
    </w:p>
    <w:p w:rsidR="00D25392" w:rsidRPr="00285C4C" w:rsidRDefault="00D25392" w:rsidP="00D25392">
      <w:pPr>
        <w:pStyle w:val="DefaultText"/>
        <w:spacing w:before="120"/>
        <w:rPr>
          <w:smallCaps/>
          <w:sz w:val="22"/>
        </w:rPr>
      </w:pPr>
      <w:r w:rsidRPr="00285C4C">
        <w:rPr>
          <w:smallCaps/>
        </w:rPr>
        <w:t>_____________________________________</w:t>
      </w:r>
    </w:p>
    <w:p w:rsidR="00D25392" w:rsidRDefault="00D25392" w:rsidP="00D25392">
      <w:pPr>
        <w:pStyle w:val="DefaultText"/>
        <w:rPr>
          <w:smallCaps/>
          <w:sz w:val="20"/>
        </w:rPr>
      </w:pPr>
      <w:r>
        <w:rPr>
          <w:smallCaps/>
          <w:sz w:val="20"/>
        </w:rPr>
        <w:t>James Bowers</w:t>
      </w:r>
    </w:p>
    <w:p w:rsidR="00D25392" w:rsidRPr="00285C4C" w:rsidRDefault="00D25392" w:rsidP="00D25392">
      <w:pPr>
        <w:pStyle w:val="DefaultText"/>
        <w:spacing w:before="120"/>
        <w:rPr>
          <w:smallCaps/>
          <w:sz w:val="22"/>
        </w:rPr>
      </w:pPr>
      <w:r w:rsidRPr="00285C4C">
        <w:rPr>
          <w:smallCaps/>
        </w:rPr>
        <w:t>_____________________________________</w:t>
      </w:r>
    </w:p>
    <w:p w:rsidR="000379E6" w:rsidRDefault="00D25392" w:rsidP="00D2539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rPr>
          <w:smallCaps/>
          <w:sz w:val="20"/>
        </w:rPr>
        <w:t>Julie Fleming</w:t>
      </w:r>
      <w:r>
        <w:tab/>
      </w:r>
      <w:r w:rsidR="000379E6">
        <w:tab/>
      </w:r>
      <w:r w:rsidR="000379E6">
        <w:tab/>
      </w:r>
      <w:r w:rsidR="000379E6">
        <w:tab/>
      </w:r>
    </w:p>
    <w:p w:rsidR="000379E6" w:rsidRDefault="000379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532215" w:rsidRDefault="0053221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B156B2" w:rsidRPr="009F608F" w:rsidRDefault="003823AD"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r w:rsidRPr="009F608F">
        <w:rPr>
          <w:sz w:val="18"/>
          <w:szCs w:val="18"/>
        </w:rPr>
        <w:t xml:space="preserve">Fiscal Note:  </w:t>
      </w:r>
      <w:r w:rsidR="00D21739" w:rsidRPr="009F608F">
        <w:rPr>
          <w:sz w:val="18"/>
          <w:szCs w:val="18"/>
        </w:rPr>
        <w:t>No Impact</w:t>
      </w:r>
    </w:p>
    <w:p w:rsidR="00C137BB" w:rsidRPr="009F608F" w:rsidRDefault="00C137BB"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p>
    <w:p w:rsidR="006F51FA" w:rsidRPr="009F608F" w:rsidRDefault="006F51FA" w:rsidP="003823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8"/>
          <w:szCs w:val="18"/>
        </w:rPr>
      </w:pPr>
      <w:r w:rsidRPr="009F608F">
        <w:rPr>
          <w:sz w:val="18"/>
          <w:szCs w:val="18"/>
        </w:rPr>
        <w:t>MIS Note:  No Impact</w:t>
      </w:r>
    </w:p>
    <w:sectPr w:rsidR="006F51FA" w:rsidRPr="009F608F" w:rsidSect="002F0B4C">
      <w:headerReference w:type="default" r:id="rId7"/>
      <w:pgSz w:w="12240" w:h="15840"/>
      <w:pgMar w:top="720" w:right="1440" w:bottom="288" w:left="1440" w:header="648" w:footer="2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155" w:rsidRDefault="00035155">
      <w:r>
        <w:separator/>
      </w:r>
    </w:p>
  </w:endnote>
  <w:endnote w:type="continuationSeparator" w:id="0">
    <w:p w:rsidR="00035155" w:rsidRDefault="0003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155" w:rsidRDefault="00035155">
      <w:r>
        <w:separator/>
      </w:r>
    </w:p>
  </w:footnote>
  <w:footnote w:type="continuationSeparator" w:id="0">
    <w:p w:rsidR="00035155" w:rsidRDefault="0003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388" w:rsidRPr="002D151E" w:rsidRDefault="00AE52A2" w:rsidP="002E3388">
    <w:pPr>
      <w:rPr>
        <w:b/>
        <w:sz w:val="24"/>
        <w:szCs w:val="24"/>
      </w:rPr>
    </w:pPr>
    <w:r w:rsidRPr="002D151E">
      <w:rPr>
        <w:b/>
        <w:sz w:val="24"/>
        <w:szCs w:val="24"/>
      </w:rPr>
      <w:t>Resolution No. ____-1</w:t>
    </w:r>
    <w:r w:rsidR="0047137E">
      <w:rPr>
        <w:b/>
        <w:sz w:val="24"/>
        <w:szCs w:val="24"/>
      </w:rPr>
      <w:t>7</w:t>
    </w:r>
    <w:r w:rsidRPr="002D151E">
      <w:rPr>
        <w:b/>
        <w:sz w:val="24"/>
        <w:szCs w:val="24"/>
      </w:rPr>
      <w:t xml:space="preserve"> </w:t>
    </w:r>
    <w:r w:rsidR="008B2C56" w:rsidRPr="002D151E">
      <w:rPr>
        <w:b/>
        <w:sz w:val="24"/>
        <w:szCs w:val="24"/>
      </w:rPr>
      <w:t>RESOLUTION FOR DISSOLUTION OF LONG TERM CARE DISTRICT PURSUANT TO WIS. STAT. § 46.2895(13)</w:t>
    </w:r>
  </w:p>
  <w:p w:rsidR="00AE52A2" w:rsidRPr="002D151E" w:rsidRDefault="00AE52A2" w:rsidP="002E3388">
    <w:pPr>
      <w:rPr>
        <w:b/>
        <w:sz w:val="24"/>
        <w:szCs w:val="24"/>
      </w:rPr>
    </w:pPr>
    <w:r w:rsidRPr="002D151E">
      <w:rPr>
        <w:b/>
        <w:sz w:val="24"/>
        <w:szCs w:val="24"/>
      </w:rPr>
      <w:t>Page 2 of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73351"/>
    <w:multiLevelType w:val="hybridMultilevel"/>
    <w:tmpl w:val="D4960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9"/>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A0"/>
    <w:rsid w:val="00035155"/>
    <w:rsid w:val="000379E6"/>
    <w:rsid w:val="001C2676"/>
    <w:rsid w:val="001F1D3A"/>
    <w:rsid w:val="002D151E"/>
    <w:rsid w:val="002E271D"/>
    <w:rsid w:val="002E3388"/>
    <w:rsid w:val="002F0B4C"/>
    <w:rsid w:val="003523C5"/>
    <w:rsid w:val="00356296"/>
    <w:rsid w:val="003823AD"/>
    <w:rsid w:val="003A7E29"/>
    <w:rsid w:val="003B3A35"/>
    <w:rsid w:val="00431765"/>
    <w:rsid w:val="0047137E"/>
    <w:rsid w:val="00471C09"/>
    <w:rsid w:val="004F7A6F"/>
    <w:rsid w:val="005046C0"/>
    <w:rsid w:val="00532215"/>
    <w:rsid w:val="005C33C8"/>
    <w:rsid w:val="006756FE"/>
    <w:rsid w:val="006A6CA0"/>
    <w:rsid w:val="006F51FA"/>
    <w:rsid w:val="0075777A"/>
    <w:rsid w:val="008A3CF1"/>
    <w:rsid w:val="008B2C56"/>
    <w:rsid w:val="00975AB8"/>
    <w:rsid w:val="009F608F"/>
    <w:rsid w:val="00A36E14"/>
    <w:rsid w:val="00A549F2"/>
    <w:rsid w:val="00AA3D71"/>
    <w:rsid w:val="00AE52A2"/>
    <w:rsid w:val="00B156B2"/>
    <w:rsid w:val="00B36DBF"/>
    <w:rsid w:val="00B84699"/>
    <w:rsid w:val="00C137BB"/>
    <w:rsid w:val="00C17287"/>
    <w:rsid w:val="00C64893"/>
    <w:rsid w:val="00D11B95"/>
    <w:rsid w:val="00D21739"/>
    <w:rsid w:val="00D25392"/>
    <w:rsid w:val="00D8372D"/>
    <w:rsid w:val="00E75D11"/>
    <w:rsid w:val="00EA31AA"/>
    <w:rsid w:val="00EB332B"/>
    <w:rsid w:val="00EE5DF2"/>
    <w:rsid w:val="00F71CB0"/>
    <w:rsid w:val="00F839CA"/>
    <w:rsid w:val="00FB3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3F909"/>
  <w15:docId w15:val="{E0D628CB-A932-4980-95F4-6DAAB589D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D71"/>
    <w:pPr>
      <w:tabs>
        <w:tab w:val="center" w:pos="4680"/>
        <w:tab w:val="right" w:pos="9360"/>
      </w:tabs>
    </w:pPr>
  </w:style>
  <w:style w:type="paragraph" w:styleId="Title">
    <w:name w:val="Title"/>
    <w:basedOn w:val="Normal"/>
    <w:qFormat/>
    <w:pPr>
      <w:spacing w:after="24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pPr>
      <w:tabs>
        <w:tab w:val="left" w:pos="360"/>
      </w:tabs>
      <w:ind w:left="360"/>
    </w:pPr>
    <w:rPr>
      <w:sz w:val="24"/>
    </w:rPr>
  </w:style>
  <w:style w:type="paragraph" w:customStyle="1" w:styleId="Bullet2">
    <w:name w:val="Bullet 2"/>
    <w:basedOn w:val="Normal"/>
    <w:pPr>
      <w:tabs>
        <w:tab w:val="left" w:pos="360"/>
      </w:tabs>
      <w:ind w:left="360"/>
    </w:pPr>
    <w:rPr>
      <w:sz w:val="24"/>
    </w:rPr>
  </w:style>
  <w:style w:type="paragraph" w:customStyle="1" w:styleId="FirstLineIndent">
    <w:name w:val="First Line Indent"/>
    <w:basedOn w:val="Normal"/>
    <w:pPr>
      <w:tabs>
        <w:tab w:val="left" w:pos="0"/>
      </w:tabs>
      <w:ind w:firstLine="720"/>
    </w:pPr>
    <w:rPr>
      <w:sz w:val="24"/>
    </w:rPr>
  </w:style>
  <w:style w:type="paragraph" w:customStyle="1" w:styleId="NumberList">
    <w:name w:val="Number List"/>
    <w:basedOn w:val="Normal"/>
    <w:pPr>
      <w:tabs>
        <w:tab w:val="left" w:pos="360"/>
      </w:tabs>
      <w:ind w:left="360"/>
    </w:pPr>
    <w:rPr>
      <w:sz w:val="24"/>
    </w:rPr>
  </w:style>
  <w:style w:type="paragraph" w:customStyle="1" w:styleId="TableText">
    <w:name w:val="Table Text"/>
    <w:basedOn w:val="Normal"/>
    <w:pPr>
      <w:jc w:val="right"/>
    </w:pPr>
    <w:rPr>
      <w:sz w:val="24"/>
    </w:rPr>
  </w:style>
  <w:style w:type="paragraph" w:customStyle="1" w:styleId="OutlineIndented">
    <w:name w:val="Outline (Indented)"/>
    <w:basedOn w:val="Normal"/>
    <w:pPr>
      <w:tabs>
        <w:tab w:val="left" w:pos="360"/>
      </w:tabs>
      <w:ind w:left="360"/>
    </w:pPr>
    <w:rPr>
      <w:sz w:val="24"/>
    </w:rPr>
  </w:style>
  <w:style w:type="paragraph" w:customStyle="1" w:styleId="OutlineNotIndented">
    <w:name w:val="Outline (Not Indented)"/>
    <w:basedOn w:val="Normal"/>
    <w:pPr>
      <w:tabs>
        <w:tab w:val="left" w:pos="360"/>
      </w:tabs>
      <w:ind w:left="360"/>
    </w:pPr>
    <w:rPr>
      <w:sz w:val="24"/>
    </w:rPr>
  </w:style>
  <w:style w:type="paragraph" w:customStyle="1" w:styleId="NoList1">
    <w:name w:val="No List1"/>
    <w:basedOn w:val="Normal"/>
  </w:style>
  <w:style w:type="paragraph" w:customStyle="1" w:styleId="TableNormal1">
    <w:name w:val="Table Normal1"/>
    <w:basedOn w:val="Normal"/>
  </w:style>
  <w:style w:type="paragraph" w:customStyle="1" w:styleId="DefaultText">
    <w:name w:val="Default Text"/>
    <w:basedOn w:val="Normal"/>
    <w:rPr>
      <w:sz w:val="24"/>
    </w:rPr>
  </w:style>
  <w:style w:type="character" w:customStyle="1" w:styleId="HeaderChar">
    <w:name w:val="Header Char"/>
    <w:basedOn w:val="DefaultParagraphFont"/>
    <w:link w:val="Header"/>
    <w:uiPriority w:val="99"/>
    <w:rsid w:val="00AA3D71"/>
    <w:rPr>
      <w:color w:val="000000"/>
    </w:rPr>
  </w:style>
  <w:style w:type="paragraph" w:styleId="Footer">
    <w:name w:val="footer"/>
    <w:basedOn w:val="Normal"/>
    <w:link w:val="FooterChar"/>
    <w:uiPriority w:val="99"/>
    <w:unhideWhenUsed/>
    <w:rsid w:val="00AA3D71"/>
    <w:pPr>
      <w:tabs>
        <w:tab w:val="center" w:pos="4680"/>
        <w:tab w:val="right" w:pos="9360"/>
      </w:tabs>
    </w:pPr>
  </w:style>
  <w:style w:type="character" w:customStyle="1" w:styleId="FooterChar">
    <w:name w:val="Footer Char"/>
    <w:basedOn w:val="DefaultParagraphFont"/>
    <w:link w:val="Footer"/>
    <w:uiPriority w:val="99"/>
    <w:rsid w:val="00AA3D71"/>
    <w:rPr>
      <w:color w:val="000000"/>
    </w:rPr>
  </w:style>
  <w:style w:type="paragraph" w:styleId="ListParagraph">
    <w:name w:val="List Paragraph"/>
    <w:basedOn w:val="Normal"/>
    <w:uiPriority w:val="34"/>
    <w:qFormat/>
    <w:rsid w:val="004F7A6F"/>
    <w:pPr>
      <w:overflowPunct/>
      <w:autoSpaceDE/>
      <w:autoSpaceDN/>
      <w:adjustRightInd/>
      <w:ind w:left="720"/>
      <w:contextualSpacing/>
      <w:textAlignment w:val="auto"/>
    </w:pPr>
    <w:rPr>
      <w:rFonts w:asciiTheme="minorHAnsi" w:eastAsiaTheme="minorEastAsia" w:hAnsiTheme="minorHAnsi" w:cstheme="minorBidi"/>
      <w:color w:val="auto"/>
      <w:sz w:val="24"/>
      <w:szCs w:val="24"/>
    </w:rPr>
  </w:style>
  <w:style w:type="character" w:customStyle="1" w:styleId="InitialStyle">
    <w:name w:val="InitialStyle"/>
    <w:rsid w:val="00532215"/>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405</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Sauk County</dc:creator>
  <cp:lastModifiedBy>User</cp:lastModifiedBy>
  <cp:revision>11</cp:revision>
  <cp:lastPrinted>2011-05-03T17:58:00Z</cp:lastPrinted>
  <dcterms:created xsi:type="dcterms:W3CDTF">2016-12-13T16:53:00Z</dcterms:created>
  <dcterms:modified xsi:type="dcterms:W3CDTF">2016-12-13T20:03:00Z</dcterms:modified>
</cp:coreProperties>
</file>